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13" w:type="dxa"/>
        <w:jc w:val="left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806"/>
        <w:gridCol w:w="4807"/>
      </w:tblGrid>
      <w:tr>
        <w:trPr>
          <w:trHeight w:val="1140" w:hRule="atLeast"/>
        </w:trPr>
        <w:tc>
          <w:tcPr>
            <w:tcW w:w="4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REGIME DI AVVIO:</w:t>
            </w:r>
          </w:p>
          <w:p>
            <w:pPr>
              <w:pStyle w:val="Normal"/>
              <w:rPr/>
            </w:pPr>
            <w:r>
              <w:rPr>
                <w:rStyle w:val="Carpredefinitoparagrafo"/>
                <w:rFonts w:cs="Arial" w:ascii="Arial" w:hAnsi="Arial"/>
                <w:b/>
                <w:bCs/>
                <w:sz w:val="18"/>
                <w:szCs w:val="18"/>
              </w:rPr>
              <w:t xml:space="preserve">Segnalazione Certificata di Inizio Attività </w:t>
            </w: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ex artt. 11 e 12 L.R. 29/05 per vicinato e media struttura minore</w:t>
            </w:r>
          </w:p>
          <w:p>
            <w:pPr>
              <w:pStyle w:val="Normal"/>
              <w:rPr/>
            </w:pPr>
            <w:r>
              <w:rPr>
                <w:rStyle w:val="Carpredefinitoparagrafo"/>
                <w:rFonts w:cs="Arial" w:ascii="Arial" w:hAnsi="Arial"/>
                <w:b/>
                <w:bCs/>
                <w:sz w:val="18"/>
                <w:szCs w:val="18"/>
              </w:rPr>
              <w:t xml:space="preserve">Domanda di autorizzazione </w:t>
            </w: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ex artt. 12 e 13 L.R. 29/05</w:t>
            </w:r>
            <w:r>
              <w:rPr>
                <w:rStyle w:val="Carpredefinitoparagrafo"/>
                <w:rFonts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Carpredefinitoparagrafo"/>
                <w:rFonts w:cs="Arial" w:ascii="Arial" w:hAnsi="Arial"/>
                <w:sz w:val="18"/>
                <w:szCs w:val="18"/>
              </w:rPr>
              <w:t>per media struttura maggiore, grande struttura, centro commerciale, complesso commerciale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Le informazioni e i dati corrispondono a quelli previsti nella modulistica unificata e standardizzata, approvata dalla Conferenza Unificata  in data 4 maggio 2017 e in data 22 febbraio 2018.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Le sezioni e le informazioni variate sulla base delle diverse disposizioni regionali sono contrassegnate con un asterisco (*)</w:t>
            </w:r>
          </w:p>
          <w:p>
            <w:pPr>
              <w:pStyle w:val="Normal"/>
              <w:jc w:val="right"/>
              <w:rPr>
                <w:rFonts w:ascii="Arial" w:hAnsi="Arial"/>
                <w:b/>
                <w:b/>
                <w:bCs/>
                <w:color w:val="0000FF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color w:val="0000FF"/>
                <w:sz w:val="12"/>
                <w:szCs w:val="12"/>
              </w:rPr>
            </w:r>
          </w:p>
        </w:tc>
      </w:tr>
      <w:tr>
        <w:trPr>
          <w:trHeight w:val="255" w:hRule="atLeast"/>
        </w:trPr>
        <w:tc>
          <w:tcPr>
            <w:tcW w:w="4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jc w:val="right"/>
              <w:rPr/>
            </w:pPr>
            <w:r>
              <w:rPr>
                <w:rStyle w:val="Carpredefinitoparagrafo"/>
                <w:rFonts w:ascii="Arial" w:hAnsi="Arial"/>
                <w:b/>
                <w:bCs/>
                <w:color w:val="0000FF"/>
                <w:sz w:val="12"/>
                <w:szCs w:val="12"/>
              </w:rPr>
              <w:t xml:space="preserve">Questo modulo </w:t>
            </w:r>
            <w:r>
              <w:rPr>
                <w:rStyle w:val="Carpredefinitoparagrafo"/>
                <w:rFonts w:ascii="Arial" w:hAnsi="Arial"/>
                <w:b/>
                <w:bCs/>
                <w:color w:val="0000FF"/>
                <w:sz w:val="12"/>
                <w:szCs w:val="12"/>
                <w:u w:val="single"/>
              </w:rPr>
              <w:t>DEVE ESSERE compilato</w:t>
            </w:r>
            <w:r>
              <w:rPr>
                <w:rStyle w:val="Carpredefinitoparagrafo"/>
                <w:rFonts w:ascii="Arial" w:hAnsi="Arial"/>
                <w:b/>
                <w:bCs/>
                <w:color w:val="0000FF"/>
                <w:sz w:val="12"/>
                <w:szCs w:val="12"/>
              </w:rPr>
              <w:t xml:space="preserve"> con OpenOffice o Libre Office</w:t>
            </w:r>
          </w:p>
        </w:tc>
      </w:tr>
      <w:tr>
        <w:trPr>
          <w:trHeight w:val="510" w:hRule="atLeas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1"/>
              <w:numPr>
                <w:ilvl w:val="0"/>
                <w:numId w:val="1"/>
              </w:numPr>
              <w:spacing w:before="240" w:after="120"/>
              <w:rPr/>
            </w:pPr>
            <w:r>
              <w:rPr/>
              <w:t>1. Dati generali dell'intervento</w:t>
            </w:r>
          </w:p>
        </w:tc>
      </w:tr>
      <w:tr>
        <w:trPr>
          <w:trHeight w:val="454" w:hRule="exac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62" w:after="62"/>
              <w:ind w:left="0" w:hanging="0"/>
              <w:rPr/>
            </w:pPr>
            <w:r>
              <w:rPr>
                <w:rStyle w:val="Carpredefinitoparagrafo"/>
                <w:i w:val="false"/>
                <w:iCs w:val="false"/>
                <w:color w:val="0000FF"/>
                <w:sz w:val="20"/>
                <w:szCs w:val="20"/>
              </w:rPr>
              <w:t>1.1 Numero della domanda</w:t>
            </w:r>
          </w:p>
        </w:tc>
      </w:tr>
      <w:tr>
        <w:trPr>
          <w:trHeight w:val="515" w:hRule="exac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textAlignment w:val="center"/>
              <w:rPr/>
            </w:pPr>
            <w:r>
              <w:rPr>
                <w:rStyle w:val="Carpredefinitoparagrafo"/>
                <w:i w:val="false"/>
                <w:iCs w:val="false"/>
                <w:color w:val="0000FF"/>
                <w:sz w:val="20"/>
                <w:szCs w:val="20"/>
              </w:rPr>
              <w:t>1.2 Titolare dell'esercizio</w:t>
            </w:r>
          </w:p>
        </w:tc>
      </w:tr>
      <w:tr>
        <w:trPr>
          <w:trHeight w:val="415" w:hRule="exact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0"/>
              <w:ind w:left="0" w:hanging="0"/>
              <w:textAlignment w:val="center"/>
              <w:rPr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1.3 Indirizzo dell'esercizio</w:t>
            </w:r>
          </w:p>
        </w:tc>
      </w:tr>
      <w:tr>
        <w:trPr>
          <w:trHeight w:val="751" w:hRule="exact"/>
        </w:trPr>
        <w:tc>
          <w:tcPr>
            <w:tcW w:w="96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ind w:left="397" w:hanging="0"/>
              <w:textAlignment w:val="bottom"/>
              <w:rPr/>
            </w:pPr>
            <w:r>
              <w:rPr>
                <w:rStyle w:val="Carpredefinitoparagrafo"/>
                <w:b/>
                <w:bCs/>
                <w:color w:val="000000"/>
                <w:sz w:val="28"/>
                <w:szCs w:val="28"/>
              </w:rPr>
              <w:t>/</w:t>
            </w:r>
          </w:p>
          <w:p>
            <w:pPr>
              <w:pStyle w:val="Normal"/>
              <w:ind w:left="397" w:hanging="0"/>
              <w:textAlignment w:val="bottom"/>
              <w:rPr/>
            </w:pPr>
            <w:r>
              <w:rPr/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720" w:top="1134" w:footer="720" w:bottom="1134" w:gutter="0"/>
          <w:pgNumType w:fmt="decimal"/>
          <w:formProt w:val="false"/>
          <w:textDirection w:val="lrTb"/>
        </w:sectPr>
      </w:pP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64" w:type="dxa"/>
        <w:jc w:val="left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640"/>
        <w:gridCol w:w="1632"/>
        <w:gridCol w:w="3392"/>
      </w:tblGrid>
      <w:tr>
        <w:trPr>
          <w:trHeight w:val="432" w:hRule="atLeast"/>
        </w:trPr>
        <w:tc>
          <w:tcPr>
            <w:tcW w:w="9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1"/>
              <w:numPr>
                <w:ilvl w:val="0"/>
                <w:numId w:val="1"/>
              </w:numPr>
              <w:spacing w:before="0" w:after="0"/>
              <w:ind w:right="-1" w:hanging="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2. Specifiche relative all'attività</w:t>
            </w:r>
          </w:p>
        </w:tc>
      </w:tr>
      <w:tr>
        <w:trPr>
          <w:trHeight w:val="408" w:hRule="exact"/>
        </w:trPr>
        <w:tc>
          <w:tcPr>
            <w:tcW w:w="96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2.1 Avvio di esercizio commerciale</w:t>
            </w:r>
          </w:p>
        </w:tc>
      </w:tr>
      <w:tr>
        <w:trPr/>
        <w:tc>
          <w:tcPr>
            <w:tcW w:w="96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0" w:hanging="0"/>
              <w:rPr/>
            </w:pPr>
            <w:r>
              <w:rPr>
                <w:rStyle w:val="Carpredefinitoparagrafo"/>
                <w:sz w:val="16"/>
                <w:szCs w:val="16"/>
              </w:rPr>
              <w:t>V</w:t>
            </w:r>
            <w:r>
              <w:rPr>
                <w:rStyle w:val="Carpredefinitoparagrafo"/>
                <w:b w:val="false"/>
                <w:bCs w:val="false"/>
                <w:sz w:val="16"/>
                <w:szCs w:val="16"/>
              </w:rPr>
              <w:t>icinato</w:t>
            </w:r>
            <w:r>
              <w:rPr>
                <w:rStyle w:val="Rimandonotaapidipagina"/>
                <w:rStyle w:val="Rimandonotaapidipagina"/>
                <w:b w:val="false"/>
                <w:bCs w:val="false"/>
                <w:sz w:val="16"/>
                <w:szCs w:val="16"/>
              </w:rPr>
              <w:footnoteReference w:id="2"/>
            </w:r>
          </w:p>
          <w:p>
            <w:pPr>
              <w:pStyle w:val="Normal"/>
              <w:rPr/>
            </w:pPr>
            <w:r>
              <w:rPr>
                <w:rStyle w:val="Carpredefinitoparagrafo"/>
                <w:rFonts w:eastAsia="Arial Unicode MS" w:cs="Tahoma" w:ascii="Arial" w:hAnsi="Arial"/>
                <w:b/>
                <w:bCs/>
                <w:sz w:val="16"/>
                <w:szCs w:val="16"/>
              </w:rPr>
              <w:t xml:space="preserve">(*) </w:t>
            </w:r>
            <w:r>
              <w:rPr>
                <w:rStyle w:val="Carpredefinitoparagrafo"/>
                <w:rFonts w:eastAsia="Arial Unicode MS" w:cs="Tahoma" w:ascii="Arial" w:hAnsi="Arial"/>
                <w:sz w:val="16"/>
                <w:szCs w:val="16"/>
              </w:rPr>
              <w:t>Media struttura minore</w:t>
            </w:r>
            <w:r>
              <w:rPr>
                <w:rStyle w:val="Rimandonotaapidipagina"/>
                <w:rStyle w:val="Rimandonotaapidipagina"/>
                <w:rFonts w:eastAsia="Arial Unicode MS" w:cs="Tahoma" w:ascii="Arial" w:hAnsi="Arial"/>
                <w:sz w:val="16"/>
                <w:szCs w:val="16"/>
              </w:rPr>
              <w:footnoteReference w:id="3"/>
            </w:r>
          </w:p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0" w:hanging="0"/>
              <w:rPr/>
            </w:pPr>
            <w:r>
              <w:rPr>
                <w:rStyle w:val="Carpredefinitoparagrafo"/>
                <w:sz w:val="16"/>
                <w:szCs w:val="16"/>
              </w:rPr>
              <w:t xml:space="preserve">(*) </w:t>
            </w:r>
            <w:r>
              <w:rPr>
                <w:rStyle w:val="Carpredefinitoparagrafo"/>
                <w:b w:val="false"/>
                <w:bCs w:val="false"/>
                <w:sz w:val="16"/>
                <w:szCs w:val="16"/>
              </w:rPr>
              <w:t>Media struttura maggiore</w:t>
            </w:r>
            <w:r>
              <w:rPr>
                <w:rStyle w:val="Rimandonotaapidipagina"/>
                <w:rStyle w:val="Rimandonotaapidipagina"/>
                <w:b w:val="false"/>
                <w:bCs w:val="false"/>
                <w:sz w:val="16"/>
                <w:szCs w:val="16"/>
              </w:rPr>
              <w:footnoteReference w:id="4"/>
            </w:r>
          </w:p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0" w:hanging="0"/>
              <w:rPr/>
            </w:pPr>
            <w:r>
              <w:rPr>
                <w:rStyle w:val="Carpredefinitoparagrafo"/>
                <w:b w:val="false"/>
                <w:bCs w:val="false"/>
                <w:sz w:val="16"/>
                <w:szCs w:val="16"/>
              </w:rPr>
              <w:t>Grande struttura</w:t>
            </w:r>
            <w:r>
              <w:rPr>
                <w:rStyle w:val="Rimandonotaapidipagina"/>
                <w:rStyle w:val="Rimandonotaapidipagina"/>
                <w:b w:val="false"/>
                <w:bCs w:val="false"/>
                <w:sz w:val="16"/>
                <w:szCs w:val="16"/>
              </w:rPr>
              <w:footnoteReference w:id="5"/>
            </w:r>
          </w:p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0" w:hanging="0"/>
              <w:rPr/>
            </w:pPr>
            <w:r>
              <w:rPr>
                <w:rStyle w:val="Carpredefinitoparagrafo"/>
                <w:sz w:val="16"/>
                <w:szCs w:val="16"/>
              </w:rPr>
              <w:t xml:space="preserve">(*) </w:t>
            </w:r>
            <w:r>
              <w:rPr>
                <w:rStyle w:val="Carpredefinitoparagrafo"/>
                <w:b w:val="false"/>
                <w:bCs w:val="false"/>
                <w:sz w:val="16"/>
                <w:szCs w:val="16"/>
              </w:rPr>
              <w:t>Centro commerciale</w:t>
            </w:r>
            <w:r>
              <w:rPr>
                <w:rStyle w:val="Rimandonotaapidipagina"/>
                <w:rStyle w:val="Rimandonotaapidipagina"/>
                <w:b w:val="false"/>
                <w:bCs w:val="false"/>
                <w:sz w:val="16"/>
                <w:szCs w:val="16"/>
              </w:rPr>
              <w:footnoteReference w:id="6"/>
            </w:r>
          </w:p>
          <w:p>
            <w:pPr>
              <w:pStyle w:val="Normal"/>
              <w:rPr/>
            </w:pPr>
            <w:r>
              <w:rPr>
                <w:rStyle w:val="Carpredefinitoparagrafo"/>
                <w:rFonts w:eastAsia="Arial Unicode MS" w:cs="Tahoma" w:ascii="Arial" w:hAnsi="Arial"/>
                <w:b/>
                <w:bCs/>
                <w:sz w:val="16"/>
                <w:szCs w:val="16"/>
              </w:rPr>
              <w:t xml:space="preserve">(*) </w:t>
            </w:r>
            <w:r>
              <w:rPr>
                <w:rStyle w:val="Carpredefinitoparagrafo"/>
                <w:rFonts w:eastAsia="Arial Unicode MS" w:cs="Tahoma" w:ascii="Arial" w:hAnsi="Arial"/>
                <w:sz w:val="16"/>
                <w:szCs w:val="16"/>
              </w:rPr>
              <w:t>Complesso commerciale</w:t>
            </w:r>
            <w:r>
              <w:rPr>
                <w:rStyle w:val="Rimandonotaapidipagina"/>
                <w:rStyle w:val="Rimandonotaapidipagina"/>
                <w:rFonts w:eastAsia="Arial Unicode MS" w:cs="Tahoma" w:ascii="Arial" w:hAnsi="Arial"/>
                <w:sz w:val="16"/>
                <w:szCs w:val="16"/>
              </w:rPr>
              <w:footnoteReference w:id="7"/>
            </w:r>
          </w:p>
        </w:tc>
      </w:tr>
      <w:tr>
        <w:trPr/>
        <w:tc>
          <w:tcPr>
            <w:tcW w:w="96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keepNext w:val="true"/>
              <w:snapToGrid w:val="false"/>
              <w:ind w:left="57" w:hanging="0"/>
              <w:jc w:val="center"/>
              <w:rPr/>
            </w:pPr>
            <w:r>
              <w:rPr>
                <w:rStyle w:val="Carpredefinitoparagrafo"/>
                <w:rFonts w:eastAsia="Arial Unicode MS" w:cs="Tahoma" w:ascii="Arial" w:hAnsi="Arial"/>
                <w:sz w:val="16"/>
                <w:szCs w:val="16"/>
              </w:rPr>
              <w:t>L' esercizio effettua la vendita esclusivamente mediante apparecchi automatici</w:t>
            </w:r>
          </w:p>
        </w:tc>
      </w:tr>
      <w:tr>
        <w:trPr>
          <w:trHeight w:val="418" w:hRule="exact"/>
        </w:trPr>
        <w:tc>
          <w:tcPr>
            <w:tcW w:w="96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2.2 Modalità di vendita</w:t>
            </w:r>
          </w:p>
        </w:tc>
      </w:tr>
      <w:tr>
        <w:trPr>
          <w:trHeight w:val="448" w:hRule="exact"/>
        </w:trPr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ind w:left="57" w:hanging="0"/>
              <w:rPr/>
            </w:pPr>
            <w:r>
              <w:rPr>
                <w:rStyle w:val="Carpredefinitoparagrafo"/>
                <w:rFonts w:ascii="Arial" w:hAnsi="Arial"/>
                <w:sz w:val="16"/>
                <w:szCs w:val="16"/>
              </w:rPr>
              <w:t>Vendita al dettaglio</w:t>
            </w:r>
          </w:p>
        </w:tc>
        <w:tc>
          <w:tcPr>
            <w:tcW w:w="5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57" w:hanging="0"/>
              <w:rPr/>
            </w:pPr>
            <w:r>
              <w:rPr>
                <w:rStyle w:val="Carpredefinitoparagrafo"/>
                <w:b w:val="false"/>
                <w:bCs w:val="false"/>
                <w:sz w:val="16"/>
                <w:szCs w:val="16"/>
              </w:rPr>
              <w:t xml:space="preserve">superficie di vendita m </w:t>
            </w:r>
            <w:r>
              <w:rPr>
                <w:rStyle w:val="Carpredefinitoparagrafo"/>
                <w:b w:val="false"/>
                <w:bCs w:val="false"/>
                <w:position w:val="16"/>
                <w:sz w:val="10"/>
                <w:sz w:val="16"/>
                <w:szCs w:val="16"/>
              </w:rPr>
              <w:t>2</w:t>
            </w:r>
          </w:p>
        </w:tc>
      </w:tr>
      <w:tr>
        <w:trPr>
          <w:trHeight w:val="788" w:hRule="exact"/>
        </w:trPr>
        <w:tc>
          <w:tcPr>
            <w:tcW w:w="464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ind w:left="57" w:hanging="0"/>
              <w:rPr/>
            </w:pPr>
            <w:r>
              <w:rPr>
                <w:rStyle w:val="Carpredefinitoparagrafo"/>
                <w:rFonts w:ascii="Arial" w:hAnsi="Arial"/>
                <w:sz w:val="16"/>
                <w:szCs w:val="16"/>
              </w:rPr>
              <w:t>Vendita congiunta al dettaglio e all'ingrosso</w:t>
            </w:r>
            <w:r>
              <w:rPr>
                <w:rStyle w:val="Rimandonotaapidipagina"/>
                <w:rStyle w:val="Rimandonotaapidipagina"/>
                <w:rFonts w:ascii="Arial" w:hAnsi="Arial"/>
                <w:sz w:val="16"/>
                <w:szCs w:val="16"/>
              </w:rPr>
              <w:footnoteReference w:id="8"/>
            </w:r>
          </w:p>
          <w:p>
            <w:pPr>
              <w:pStyle w:val="Normal"/>
              <w:snapToGrid w:val="false"/>
              <w:ind w:left="57" w:hanging="0"/>
              <w:rPr/>
            </w:pPr>
            <w:r>
              <w:rPr>
                <w:rStyle w:val="Carpredefinitoparagrafo"/>
                <w:rFonts w:eastAsia="Arial Unicode MS" w:cs="Tahoma" w:ascii="Arial" w:hAnsi="Arial"/>
                <w:b/>
                <w:bCs/>
                <w:sz w:val="16"/>
                <w:szCs w:val="16"/>
              </w:rPr>
              <w:t xml:space="preserve">(*) </w:t>
            </w:r>
            <w:r>
              <w:rPr>
                <w:rStyle w:val="Carpredefinitoparagrafo"/>
                <w:rFonts w:ascii="Arial" w:hAnsi="Arial"/>
                <w:sz w:val="12"/>
                <w:szCs w:val="12"/>
              </w:rPr>
              <w:t>Le superfici destinate al commercio all'ingrosso rimangono nettamente distinte dalle superfici destinate al commercio al dettaglio</w:t>
            </w:r>
          </w:p>
        </w:tc>
        <w:tc>
          <w:tcPr>
            <w:tcW w:w="5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57" w:hanging="0"/>
              <w:rPr/>
            </w:pPr>
            <w:r>
              <w:rPr>
                <w:rStyle w:val="Carpredefinitoparagrafo"/>
                <w:b w:val="false"/>
                <w:bCs w:val="false"/>
                <w:sz w:val="16"/>
                <w:szCs w:val="16"/>
              </w:rPr>
              <w:t xml:space="preserve">superficie di vendita m </w:t>
            </w:r>
            <w:r>
              <w:rPr>
                <w:rStyle w:val="Carpredefinitoparagrafo"/>
                <w:b w:val="false"/>
                <w:bCs w:val="false"/>
                <w:position w:val="16"/>
                <w:sz w:val="10"/>
                <w:sz w:val="16"/>
                <w:szCs w:val="16"/>
              </w:rPr>
              <w:t>2</w:t>
            </w:r>
          </w:p>
        </w:tc>
      </w:tr>
      <w:tr>
        <w:trPr>
          <w:trHeight w:val="408" w:hRule="exact"/>
        </w:trPr>
        <w:tc>
          <w:tcPr>
            <w:tcW w:w="96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2.3 Esercizio a carattere</w:t>
            </w:r>
          </w:p>
        </w:tc>
      </w:tr>
      <w:tr>
        <w:trPr>
          <w:trHeight w:val="353" w:hRule="atLeast"/>
        </w:trPr>
        <w:tc>
          <w:tcPr>
            <w:tcW w:w="96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snapToGrid w:val="false"/>
              <w:spacing w:before="0" w:after="57"/>
              <w:ind w:left="57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Permanente</w:t>
            </w:r>
          </w:p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snapToGrid w:val="false"/>
              <w:spacing w:before="0" w:after="57"/>
              <w:ind w:left="57" w:hanging="0"/>
              <w:rPr/>
            </w:pPr>
            <w:r>
              <w:rPr>
                <w:rStyle w:val="Carpredefinitoparagrafo"/>
                <w:sz w:val="16"/>
                <w:szCs w:val="16"/>
              </w:rPr>
              <w:t>(*)  Stagionale</w:t>
            </w:r>
            <w:r>
              <w:rPr>
                <w:rStyle w:val="Rimandonotaapidipagina"/>
                <w:rStyle w:val="Rimandonotaapidipagina"/>
                <w:sz w:val="16"/>
                <w:szCs w:val="16"/>
              </w:rPr>
              <w:footnoteReference w:id="9"/>
            </w:r>
            <w:r>
              <w:rPr>
                <w:rStyle w:val="Carpredefinitoparagrafo"/>
                <w:i/>
                <w:iCs/>
                <w:sz w:val="16"/>
                <w:szCs w:val="16"/>
              </w:rPr>
              <w:t xml:space="preserve"> </w:t>
            </w:r>
            <w:r>
              <w:rPr>
                <w:rStyle w:val="Carpredefinitoparagrafo"/>
                <w:rFonts w:cs="Arial"/>
                <w:i/>
                <w:iCs/>
                <w:sz w:val="16"/>
                <w:szCs w:val="16"/>
              </w:rPr>
              <w:t>dal</w:t>
            </w:r>
            <w:r>
              <w:rPr>
                <w:rStyle w:val="Carpredefinitoparagrafo"/>
                <w:rFonts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Carpredefinitoparagrafo"/>
                <w:rFonts w:cs="Arial"/>
                <w:i/>
                <w:iCs/>
                <w:sz w:val="16"/>
                <w:szCs w:val="16"/>
              </w:rPr>
              <w:t xml:space="preserve">al </w:t>
            </w:r>
            <w:r>
              <w:rPr>
                <w:rStyle w:val="Carpredefinitoparagrafo"/>
                <w:rFonts w:cs="Arial"/>
                <w:i/>
                <w:iCs/>
                <w:sz w:val="12"/>
                <w:szCs w:val="12"/>
              </w:rPr>
              <w:t>(gg/mm)</w:t>
            </w:r>
          </w:p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snapToGrid w:val="false"/>
              <w:ind w:left="57" w:hanging="0"/>
              <w:rPr/>
            </w:pPr>
            <w:r>
              <w:rPr>
                <w:rStyle w:val="Carpredefinitoparagrafo"/>
                <w:sz w:val="16"/>
                <w:szCs w:val="16"/>
              </w:rPr>
              <w:t>(*)  Temporaneo</w:t>
            </w:r>
            <w:r>
              <w:rPr>
                <w:rStyle w:val="Rimandonotaapidipagina"/>
                <w:rStyle w:val="Rimandonotaapidipagina"/>
                <w:sz w:val="16"/>
                <w:szCs w:val="16"/>
              </w:rPr>
              <w:footnoteReference w:id="10"/>
            </w:r>
            <w:r>
              <w:rPr>
                <w:rStyle w:val="Carpredefinitoparagrafo"/>
                <w:sz w:val="16"/>
                <w:szCs w:val="16"/>
              </w:rPr>
              <w:t xml:space="preserve"> dal  al </w:t>
            </w:r>
            <w:r>
              <w:rPr>
                <w:rStyle w:val="Carpredefinitoparagrafo"/>
                <w:i/>
                <w:iCs/>
                <w:sz w:val="12"/>
                <w:szCs w:val="12"/>
              </w:rPr>
              <w:t>(gg/mm/aaaa)</w:t>
            </w:r>
          </w:p>
        </w:tc>
      </w:tr>
      <w:tr>
        <w:trPr>
          <w:trHeight w:val="353" w:hRule="atLeast"/>
        </w:trPr>
        <w:tc>
          <w:tcPr>
            <w:tcW w:w="96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napToGrid w:val="false"/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2.4 Esercizio collocato in centro commerciale o complesso commerciale</w:t>
            </w:r>
          </w:p>
        </w:tc>
      </w:tr>
      <w:tr>
        <w:trPr>
          <w:trHeight w:val="353" w:hRule="atLeast"/>
        </w:trPr>
        <w:tc>
          <w:tcPr>
            <w:tcW w:w="96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Style w:val="Carpredefinitoparagrafo"/>
                <w:rFonts w:eastAsia="Arial Unicode MS" w:cs="Tahoma" w:ascii="Arial" w:hAnsi="Arial"/>
                <w:sz w:val="16"/>
                <w:szCs w:val="16"/>
              </w:rPr>
              <w:t>Si denominazione</w:t>
            </w:r>
          </w:p>
          <w:p>
            <w:pPr>
              <w:pStyle w:val="Normal"/>
              <w:rPr/>
            </w:pPr>
            <w:r>
              <w:rPr>
                <w:rStyle w:val="Carpredefinitoparagrafo"/>
                <w:rFonts w:eastAsia="Arial Unicode MS" w:cs="Tahoma" w:ascii="Arial" w:hAnsi="Arial"/>
                <w:sz w:val="16"/>
                <w:szCs w:val="16"/>
              </w:rPr>
              <w:t>No</w:t>
            </w:r>
          </w:p>
        </w:tc>
      </w:tr>
      <w:tr>
        <w:trPr>
          <w:trHeight w:val="353" w:hRule="atLeast"/>
        </w:trPr>
        <w:tc>
          <w:tcPr>
            <w:tcW w:w="96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napToGrid w:val="false"/>
              <w:spacing w:before="57" w:after="57"/>
              <w:ind w:left="0" w:hanging="0"/>
              <w:rPr/>
            </w:pPr>
            <w:r>
              <w:rPr>
                <w:rStyle w:val="Carpredefinitoparagrafo"/>
                <w:i w:val="false"/>
                <w:iCs w:val="false"/>
                <w:color w:val="0000FF"/>
                <w:sz w:val="20"/>
                <w:szCs w:val="20"/>
              </w:rPr>
              <w:t>2.5 Settori merceologici</w:t>
            </w:r>
            <w:r>
              <w:rPr>
                <w:rStyle w:val="Rimandonotaapidipagina"/>
                <w:rStyle w:val="Rimandonotaapidipagina"/>
                <w:i w:val="false"/>
                <w:iCs w:val="false"/>
                <w:color w:val="0000FF"/>
                <w:sz w:val="20"/>
                <w:szCs w:val="20"/>
              </w:rPr>
              <w:footnoteReference w:id="11"/>
            </w:r>
            <w:r>
              <w:rPr>
                <w:rStyle w:val="Carpredefinitoparagrafo"/>
                <w:i w:val="false"/>
                <w:iCs w:val="false"/>
                <w:color w:val="0000FF"/>
                <w:sz w:val="20"/>
                <w:szCs w:val="20"/>
              </w:rPr>
              <w:t xml:space="preserve"> e superfici di vendita</w:t>
            </w:r>
            <w:r>
              <w:rPr>
                <w:rStyle w:val="Rimandonotaapidipagina"/>
                <w:rStyle w:val="Rimandonotaapidipagina"/>
                <w:i w:val="false"/>
                <w:iCs w:val="false"/>
                <w:color w:val="0000FF"/>
                <w:sz w:val="20"/>
                <w:szCs w:val="20"/>
              </w:rPr>
              <w:footnoteReference w:id="12"/>
            </w:r>
          </w:p>
        </w:tc>
      </w:tr>
      <w:tr>
        <w:trPr>
          <w:trHeight w:val="448" w:hRule="exact"/>
        </w:trPr>
        <w:tc>
          <w:tcPr>
            <w:tcW w:w="627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57" w:hanging="0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Alimentare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57" w:hanging="0"/>
              <w:rPr/>
            </w:pPr>
            <w:r>
              <w:rPr>
                <w:rStyle w:val="Carpredefinitoparagrafo"/>
                <w:b w:val="false"/>
                <w:bCs w:val="false"/>
                <w:sz w:val="16"/>
                <w:szCs w:val="16"/>
              </w:rPr>
              <w:t xml:space="preserve">superficie di vendita m </w:t>
            </w:r>
            <w:r>
              <w:rPr>
                <w:rStyle w:val="Carpredefinitoparagrafo"/>
                <w:b w:val="false"/>
                <w:bCs w:val="false"/>
                <w:position w:val="16"/>
                <w:sz w:val="10"/>
                <w:sz w:val="16"/>
                <w:szCs w:val="16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627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57" w:hanging="0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Non alimentare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57" w:hanging="0"/>
              <w:rPr/>
            </w:pPr>
            <w:r>
              <w:rPr>
                <w:rStyle w:val="Carpredefinitoparagrafo"/>
                <w:b w:val="false"/>
                <w:bCs w:val="false"/>
                <w:sz w:val="16"/>
                <w:szCs w:val="16"/>
              </w:rPr>
              <w:t xml:space="preserve">superficie di vendita m </w:t>
            </w:r>
            <w:r>
              <w:rPr>
                <w:rStyle w:val="Carpredefinitoparagrafo"/>
                <w:b w:val="false"/>
                <w:bCs w:val="false"/>
                <w:position w:val="16"/>
                <w:sz w:val="10"/>
                <w:sz w:val="16"/>
                <w:szCs w:val="16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96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ind w:left="57" w:hanging="0"/>
              <w:jc w:val="center"/>
              <w:rPr/>
            </w:pPr>
            <w:r>
              <w:rPr>
                <w:rStyle w:val="Carpredefinitoparagrafo"/>
                <w:rFonts w:ascii="Arial" w:hAnsi="Arial"/>
                <w:sz w:val="16"/>
                <w:szCs w:val="16"/>
              </w:rPr>
              <w:t xml:space="preserve">Superficie di vendita complessiva in m </w:t>
            </w:r>
            <w:r>
              <w:rPr>
                <w:rStyle w:val="Carpredefinitoparagrafo"/>
                <w:rFonts w:ascii="Arial" w:hAnsi="Arial"/>
                <w:position w:val="16"/>
                <w:sz w:val="10"/>
                <w:sz w:val="16"/>
                <w:szCs w:val="16"/>
              </w:rPr>
              <w:t>2</w:t>
            </w:r>
          </w:p>
          <w:p>
            <w:pPr>
              <w:pStyle w:val="Normal"/>
              <w:snapToGrid w:val="false"/>
              <w:ind w:left="57" w:hanging="0"/>
              <w:jc w:val="center"/>
              <w:rPr>
                <w:rFonts w:ascii="Arial" w:hAnsi="Arial"/>
                <w:i/>
                <w:i/>
                <w:iCs/>
                <w:sz w:val="12"/>
                <w:szCs w:val="12"/>
              </w:rPr>
            </w:pPr>
            <w:r>
              <w:rPr>
                <w:rFonts w:ascii="Arial" w:hAnsi="Arial"/>
                <w:i/>
                <w:iCs/>
                <w:sz w:val="12"/>
                <w:szCs w:val="12"/>
              </w:rPr>
              <w:t>(la superficie da indicare deve essere uguale alla somma delle superfici sopra riportate)</w:t>
            </w:r>
          </w:p>
          <w:p>
            <w:pPr>
              <w:pStyle w:val="Normal"/>
              <w:snapToGrid w:val="false"/>
              <w:ind w:left="57" w:hanging="0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di cui:</w:t>
            </w:r>
          </w:p>
        </w:tc>
      </w:tr>
      <w:tr>
        <w:trPr>
          <w:trHeight w:val="450" w:hRule="atLeast"/>
        </w:trPr>
        <w:tc>
          <w:tcPr>
            <w:tcW w:w="627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57" w:hanging="0"/>
              <w:rPr/>
            </w:pPr>
            <w:r>
              <w:rPr>
                <w:rStyle w:val="Carpredefinitoparagrafo"/>
                <w:rFonts w:cs="Arial"/>
                <w:sz w:val="16"/>
                <w:szCs w:val="16"/>
              </w:rPr>
              <w:t xml:space="preserve">(*) </w:t>
            </w:r>
            <w:r>
              <w:rPr>
                <w:rStyle w:val="Carpredefinitoparagrafo"/>
                <w:rFonts w:cs="Arial"/>
                <w:b w:val="false"/>
                <w:bCs w:val="false"/>
                <w:sz w:val="16"/>
                <w:szCs w:val="16"/>
              </w:rPr>
              <w:t>G</w:t>
            </w:r>
            <w:r>
              <w:rPr>
                <w:rStyle w:val="Carpredefinitoparagrafo"/>
                <w:b w:val="false"/>
                <w:bCs w:val="false"/>
                <w:sz w:val="16"/>
                <w:szCs w:val="16"/>
              </w:rPr>
              <w:t>eneri non alimentari a basso impatto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TableContents"/>
              <w:ind w:left="57" w:hanging="0"/>
              <w:rPr/>
            </w:pPr>
            <w:r>
              <w:rPr>
                <w:rStyle w:val="Carpredefinitoparagrafo"/>
                <w:sz w:val="16"/>
                <w:szCs w:val="16"/>
              </w:rPr>
              <w:t xml:space="preserve">superficie di vendita m </w:t>
            </w:r>
            <w:r>
              <w:rPr>
                <w:rStyle w:val="Carpredefinitoparagrafo"/>
                <w:position w:val="16"/>
                <w:sz w:val="10"/>
                <w:sz w:val="16"/>
                <w:szCs w:val="16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96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ind w:left="57" w:hanging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Prodotti appartenenti alle seguenti Tabelle speciali</w:t>
            </w:r>
          </w:p>
        </w:tc>
      </w:tr>
      <w:tr>
        <w:trPr>
          <w:trHeight w:val="375" w:hRule="atLeast"/>
        </w:trPr>
        <w:tc>
          <w:tcPr>
            <w:tcW w:w="627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ind w:left="57" w:hanging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Generi di monopolio  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57" w:hanging="0"/>
              <w:rPr/>
            </w:pPr>
            <w:r>
              <w:rPr>
                <w:rStyle w:val="Carpredefinitoparagrafo"/>
                <w:b w:val="false"/>
                <w:bCs w:val="false"/>
                <w:sz w:val="16"/>
                <w:szCs w:val="16"/>
              </w:rPr>
              <w:t xml:space="preserve">superficie di vendita m </w:t>
            </w:r>
            <w:r>
              <w:rPr>
                <w:rStyle w:val="Carpredefinitoparagrafo"/>
                <w:b w:val="false"/>
                <w:bCs w:val="false"/>
                <w:position w:val="16"/>
                <w:sz w:val="10"/>
                <w:sz w:val="16"/>
                <w:szCs w:val="16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627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ind w:left="57" w:hanging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Farmacie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57" w:hanging="0"/>
              <w:rPr/>
            </w:pPr>
            <w:r>
              <w:rPr>
                <w:rStyle w:val="Carpredefinitoparagrafo"/>
                <w:b w:val="false"/>
                <w:bCs w:val="false"/>
                <w:sz w:val="16"/>
                <w:szCs w:val="16"/>
              </w:rPr>
              <w:t xml:space="preserve">superficie di vendita m </w:t>
            </w:r>
            <w:r>
              <w:rPr>
                <w:rStyle w:val="Carpredefinitoparagrafo"/>
                <w:b w:val="false"/>
                <w:bCs w:val="false"/>
                <w:position w:val="16"/>
                <w:sz w:val="10"/>
                <w:sz w:val="16"/>
                <w:szCs w:val="16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627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ind w:left="57" w:hanging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Carburanti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57" w:hanging="0"/>
              <w:rPr/>
            </w:pPr>
            <w:r>
              <w:rPr>
                <w:rStyle w:val="Carpredefinitoparagrafo"/>
                <w:b w:val="false"/>
                <w:bCs w:val="false"/>
                <w:sz w:val="16"/>
                <w:szCs w:val="16"/>
              </w:rPr>
              <w:t xml:space="preserve">superficie di vendita m </w:t>
            </w:r>
            <w:r>
              <w:rPr>
                <w:rStyle w:val="Carpredefinitoparagrafo"/>
                <w:b w:val="false"/>
                <w:bCs w:val="false"/>
                <w:position w:val="16"/>
                <w:sz w:val="10"/>
                <w:sz w:val="16"/>
                <w:szCs w:val="16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6272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ind w:left="57" w:hanging="0"/>
              <w:rPr/>
            </w:pPr>
            <w:r>
              <w:rPr>
                <w:rStyle w:val="Carpredefinitoparagrafo"/>
                <w:rFonts w:cs="Arial" w:ascii="Arial" w:hAnsi="Arial"/>
                <w:b/>
                <w:bCs/>
                <w:sz w:val="16"/>
                <w:szCs w:val="16"/>
              </w:rPr>
              <w:t xml:space="preserve">(*) </w:t>
            </w: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Attività integrative di commercio presso impianti di distribuzione carburante ad uso pubblico</w:t>
            </w:r>
          </w:p>
        </w:tc>
        <w:tc>
          <w:tcPr>
            <w:tcW w:w="3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itolo3"/>
              <w:numPr>
                <w:ilvl w:val="2"/>
                <w:numId w:val="1"/>
              </w:numPr>
              <w:tabs>
                <w:tab w:val="left" w:pos="0" w:leader="none"/>
              </w:tabs>
              <w:ind w:left="57" w:hanging="0"/>
              <w:rPr/>
            </w:pPr>
            <w:r>
              <w:rPr>
                <w:rStyle w:val="Carpredefinitoparagrafo"/>
                <w:b w:val="false"/>
                <w:bCs w:val="false"/>
                <w:sz w:val="16"/>
                <w:szCs w:val="16"/>
              </w:rPr>
              <w:t xml:space="preserve">superficie di vendita m </w:t>
            </w:r>
            <w:r>
              <w:rPr>
                <w:rStyle w:val="Carpredefinitoparagrafo"/>
                <w:b w:val="false"/>
                <w:bCs w:val="false"/>
                <w:position w:val="16"/>
                <w:sz w:val="10"/>
                <w:sz w:val="16"/>
                <w:szCs w:val="16"/>
              </w:rPr>
              <w:t>2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38" w:type="dxa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95"/>
        <w:gridCol w:w="23"/>
        <w:gridCol w:w="4820"/>
      </w:tblGrid>
      <w:tr>
        <w:trPr>
          <w:trHeight w:val="284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napToGrid w:val="false"/>
              <w:spacing w:before="68" w:after="62"/>
              <w:ind w:left="0" w:hanging="0"/>
              <w:rPr>
                <w:i w:val="false"/>
                <w:i w:val="false"/>
                <w:iCs w:val="false"/>
                <w:color w:val="0000FF"/>
                <w:sz w:val="20"/>
                <w:szCs w:val="20"/>
              </w:rPr>
            </w:pPr>
            <w:r>
              <w:rPr>
                <w:i w:val="false"/>
                <w:iCs w:val="false"/>
                <w:color w:val="0000FF"/>
                <w:sz w:val="20"/>
                <w:szCs w:val="20"/>
              </w:rPr>
              <w:t>Dichiarazioni generali ai sensi e per gli effetti degli art. 46 e 47 del D.P.R. 445/2000</w:t>
            </w:r>
          </w:p>
        </w:tc>
      </w:tr>
      <w:tr>
        <w:trPr>
          <w:trHeight w:val="397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IL SOTTOSCRITTO/LA SOTTOSCRITTA</w:t>
            </w:r>
          </w:p>
        </w:tc>
      </w:tr>
      <w:tr>
        <w:trPr>
          <w:trHeight w:val="397" w:hRule="atLeast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Cognome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Nome</w:t>
            </w:r>
          </w:p>
        </w:tc>
      </w:tr>
      <w:tr>
        <w:trPr>
          <w:trHeight w:val="397" w:hRule="atLeast"/>
        </w:trPr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Data di nascita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Codice Fiscale</w:t>
            </w:r>
          </w:p>
        </w:tc>
      </w:tr>
      <w:tr>
        <w:trPr>
          <w:trHeight w:val="397" w:hRule="atLeast"/>
        </w:trPr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Luogo nascita</w:t>
            </w:r>
          </w:p>
        </w:tc>
      </w:tr>
      <w:tr>
        <w:trPr>
          <w:trHeight w:val="397" w:hRule="atLeast"/>
        </w:trPr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Comune: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Provincia:</w:t>
            </w:r>
          </w:p>
        </w:tc>
      </w:tr>
      <w:tr>
        <w:trPr>
          <w:trHeight w:val="450" w:hRule="atLeast"/>
        </w:trPr>
        <w:tc>
          <w:tcPr>
            <w:tcW w:w="4818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Città estera: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Stato:</w:t>
            </w:r>
          </w:p>
        </w:tc>
      </w:tr>
      <w:tr>
        <w:trPr>
          <w:trHeight w:val="527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i/>
                <w:sz w:val="16"/>
                <w:szCs w:val="16"/>
              </w:rPr>
              <w:t>consapevole delle sanzioni penali previste dalla legge per le false dichiarazioni e attestazioni (art. 76 del D.P.R. n°445 del 28/12/2000 e Codice penale), sotto la propria responsabilità,</w:t>
            </w:r>
          </w:p>
        </w:tc>
      </w:tr>
      <w:tr>
        <w:trPr>
          <w:trHeight w:val="236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DICHIARA</w:t>
            </w:r>
          </w:p>
        </w:tc>
      </w:tr>
      <w:tr>
        <w:trPr>
          <w:trHeight w:val="527" w:hRule="atLeast"/>
        </w:trPr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/>
            </w:pPr>
            <w:r>
              <w:rPr>
                <w:rStyle w:val="Carpredefinitoparagrafo"/>
                <w:rFonts w:cs="Arial" w:ascii="Arial" w:hAnsi="Arial"/>
                <w:b/>
                <w:bCs/>
                <w:sz w:val="16"/>
                <w:szCs w:val="16"/>
              </w:rPr>
              <w:t xml:space="preserve">(*) </w:t>
            </w: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di svolgere l’attività nel rispetto della normativa igienico-sanitaria, urbanistico-edilizia, ambientale e relativa alla destinazione d’uso  dei locali, alla prevenzione incendi, alla tutela della salute e sicurezza nei luoghi di lavoro, all'impatto acustico, nonché al superamento delle barriere architettoniche</w:t>
            </w:r>
          </w:p>
        </w:tc>
      </w:tr>
      <w:tr>
        <w:trPr>
          <w:trHeight w:val="527" w:hRule="atLeast"/>
        </w:trPr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/>
            </w:pPr>
            <w:r>
              <w:rPr>
                <w:rStyle w:val="Carpredefinitoparagrafo"/>
                <w:rFonts w:cs="Arial" w:ascii="Arial" w:hAnsi="Arial"/>
                <w:b/>
                <w:bCs/>
                <w:sz w:val="16"/>
                <w:szCs w:val="16"/>
              </w:rPr>
              <w:t xml:space="preserve">(*) </w:t>
            </w: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(</w:t>
            </w:r>
            <w:r>
              <w:rPr>
                <w:rStyle w:val="Carpredefinitoparagrafo"/>
                <w:rFonts w:cs="Arial" w:ascii="Arial" w:hAnsi="Arial"/>
                <w:i/>
                <w:iCs/>
                <w:sz w:val="12"/>
                <w:szCs w:val="12"/>
              </w:rPr>
              <w:t>In caso di esercizi di vicinato</w:t>
            </w: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)</w:t>
            </w:r>
            <w:r>
              <w:rPr>
                <w:rStyle w:val="Carpredefinitoparagrafo"/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 xml:space="preserve">estremi del titolo abilitativo edilizio  </w:t>
            </w:r>
          </w:p>
        </w:tc>
      </w:tr>
      <w:tr>
        <w:trPr>
          <w:trHeight w:val="527" w:hRule="atLeast"/>
        </w:trPr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(</w:t>
            </w:r>
            <w:r>
              <w:rPr>
                <w:rStyle w:val="Carpredefinitoparagrafo"/>
                <w:rFonts w:cs="Arial" w:ascii="Arial" w:hAnsi="Arial"/>
                <w:i/>
                <w:iCs/>
                <w:sz w:val="12"/>
                <w:szCs w:val="12"/>
              </w:rPr>
              <w:t>In caso di esercizi di  Media struttura Maggiore e Grande struttura</w:t>
            </w: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)</w:t>
            </w:r>
            <w:r>
              <w:rPr>
                <w:rStyle w:val="Carpredefinitoparagrafo"/>
                <w:rFonts w:ascii="Arial" w:hAnsi="Arial"/>
                <w:sz w:val="16"/>
                <w:szCs w:val="16"/>
              </w:rPr>
              <w:t xml:space="preserve">  di aver rispettato la normativa relativa alle superfici da destinare a parcheggio, a sosta e a movimentazione merci</w:t>
            </w:r>
          </w:p>
        </w:tc>
      </w:tr>
      <w:tr>
        <w:trPr>
          <w:trHeight w:val="527" w:hRule="atLeast"/>
        </w:trPr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 impegnarsi a comunicare ogni variazione relativa a stati, fatti, condizioni e titolarità rispetto a quanto dichiarato</w:t>
            </w:r>
          </w:p>
        </w:tc>
      </w:tr>
      <w:tr>
        <w:trPr>
          <w:trHeight w:val="342" w:hRule="atLeast"/>
        </w:trPr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57" w:after="57"/>
              <w:jc w:val="center"/>
              <w:rPr/>
            </w:pPr>
            <w:r>
              <w:rPr>
                <w:rStyle w:val="Carpredefinitoparagrafo"/>
                <w:rFonts w:cs="Arial" w:ascii="Arial" w:hAnsi="Arial"/>
                <w:b/>
                <w:bCs/>
                <w:sz w:val="16"/>
                <w:szCs w:val="16"/>
              </w:rPr>
              <w:t xml:space="preserve">(*) </w:t>
            </w:r>
            <w:r>
              <w:rPr>
                <w:rStyle w:val="Carpredefinitoparagrafo"/>
                <w:rFonts w:cs="Arial" w:ascii="Arial" w:hAnsi="Arial"/>
                <w:b/>
                <w:color w:val="0000FF"/>
                <w:sz w:val="16"/>
                <w:szCs w:val="16"/>
              </w:rPr>
              <w:t>Dichiarazioni specifiche in materia di gioco lecito (selezionare un'opzione)</w:t>
            </w:r>
            <w:r>
              <w:rPr>
                <w:rStyle w:val="Rimandonotaapidipagina"/>
                <w:rStyle w:val="Rimandonotaapidipagina"/>
                <w:rFonts w:cs="Arial" w:ascii="Arial" w:hAnsi="Arial"/>
                <w:b/>
                <w:color w:val="0000FF"/>
                <w:sz w:val="16"/>
                <w:szCs w:val="16"/>
              </w:rPr>
              <w:footnoteReference w:id="13"/>
            </w:r>
          </w:p>
        </w:tc>
      </w:tr>
      <w:tr>
        <w:trPr>
          <w:trHeight w:val="294" w:hRule="atLeast"/>
        </w:trPr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non detenere alcun apparecchio per il gioco lecito</w:t>
            </w:r>
          </w:p>
        </w:tc>
      </w:tr>
      <w:tr>
        <w:trPr>
          <w:trHeight w:val="294" w:hRule="atLeast"/>
        </w:trPr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di detenere n. apparecchi per il gioco lecito collegati alla rete telematica SOGEI a una distanza superiore a 500 metri dai luoghi sensibili   </w:t>
            </w:r>
          </w:p>
        </w:tc>
      </w:tr>
      <w:tr>
        <w:trPr>
          <w:trHeight w:val="527" w:hRule="atLeast"/>
        </w:trPr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detenere n. apparecchi per il gioco lecito collegati alla rete telematica SOGEI in data anteriore al 3 agosto 2017, a una distanza inferiore a 500 metri dai luoghi sensibili;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in tal caso è consapevole dell'obbligo di rimozione degli apparecchi da gioco, nei termini previsti dall'art. 7 della Legge regionale 17 luglio 2017, n. 26, ovvero: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a) entro cinque anni qualora si tratti di sale da gioco o sale scommesse (3 agosto 2022);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b) entro tre anni nel caso di qualsiasi altra attività (3 agosto 2020)</w:t>
            </w:r>
          </w:p>
        </w:tc>
      </w:tr>
      <w:tr>
        <w:trPr>
          <w:trHeight w:val="527" w:hRule="atLeast"/>
        </w:trPr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di detenere n. apparecchi per il gioco lecito collegati alla rete telematica SOGEI in data anteriore al 3 agosto 2017, a una distanza inferiore a 500 metri dai luoghi sensibili, ma di avvalersi della deroga prevista dall'art.6, comma 11 della L.R. 1/2014</w:t>
            </w:r>
            <w:r>
              <w:rPr>
                <w:rStyle w:val="Rimandonotaapidipagina"/>
                <w:rStyle w:val="Rimandonotaapidipagina"/>
                <w:rFonts w:cs="Arial" w:ascii="Arial" w:hAnsi="Arial"/>
                <w:sz w:val="16"/>
                <w:szCs w:val="16"/>
              </w:rPr>
              <w:footnoteReference w:id="14"/>
            </w:r>
          </w:p>
        </w:tc>
      </w:tr>
      <w:tr>
        <w:trPr>
          <w:trHeight w:val="527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collocare n. nuovi apparecchi per il gioco lecito a una distanza superiore a 500 metri dai luoghi sensibili</w:t>
            </w:r>
          </w:p>
        </w:tc>
      </w:tr>
      <w:tr>
        <w:trPr>
          <w:trHeight w:val="527" w:hRule="atLeast"/>
        </w:trPr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57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di sostituire apparecchi per il gioco lecito già collegati alla rete telematica SOGEI:</w:t>
            </w:r>
          </w:p>
          <w:p>
            <w:pPr>
              <w:pStyle w:val="Normal"/>
              <w:snapToGrid w:val="false"/>
              <w:spacing w:before="57" w:after="0"/>
              <w:jc w:val="both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di cui n.   per vetustà</w:t>
            </w:r>
            <w:r>
              <w:rPr>
                <w:rStyle w:val="Rimandonotaapidipagina"/>
                <w:rStyle w:val="Rimandonotaapidipagina"/>
                <w:rFonts w:cs="Arial" w:ascii="Arial" w:hAnsi="Arial"/>
                <w:sz w:val="16"/>
                <w:szCs w:val="16"/>
              </w:rPr>
              <w:footnoteReference w:id="15"/>
            </w:r>
          </w:p>
          <w:p>
            <w:pPr>
              <w:pStyle w:val="Normal"/>
              <w:snapToGrid w:val="false"/>
              <w:spacing w:before="57" w:after="0"/>
              <w:jc w:val="both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di cui n.   per guasto</w:t>
            </w:r>
            <w:r>
              <w:rPr>
                <w:rStyle w:val="Rimandonotaapidipagina"/>
                <w:rStyle w:val="Rimandonotaapidipagina"/>
                <w:rFonts w:cs="Arial" w:ascii="Arial" w:hAnsi="Arial"/>
                <w:sz w:val="16"/>
                <w:szCs w:val="16"/>
              </w:rPr>
              <w:footnoteReference w:id="16"/>
            </w:r>
          </w:p>
          <w:p>
            <w:pPr>
              <w:pStyle w:val="Normal"/>
              <w:snapToGrid w:val="false"/>
              <w:spacing w:before="57" w:after="0"/>
              <w:jc w:val="both"/>
              <w:rPr/>
            </w:pP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(</w:t>
            </w:r>
            <w:r>
              <w:rPr>
                <w:rStyle w:val="Carpredefinitoparagrafo"/>
                <w:rFonts w:cs="Arial" w:ascii="Arial" w:hAnsi="Arial"/>
                <w:i/>
                <w:iCs/>
                <w:sz w:val="16"/>
                <w:szCs w:val="16"/>
              </w:rPr>
              <w:t>specificare il motivo della vetustà o guasto come previsto dall'art. 6, comma 6, secondo capoverso della L.R. 1/14</w:t>
            </w:r>
            <w:r>
              <w:rPr>
                <w:rStyle w:val="Rimandonotaapidipagina"/>
                <w:rStyle w:val="Rimandonotaapidipagina"/>
                <w:rFonts w:cs="Arial" w:ascii="Arial" w:hAnsi="Arial"/>
                <w:i/>
                <w:iCs/>
                <w:sz w:val="16"/>
                <w:szCs w:val="16"/>
              </w:rPr>
              <w:footnoteReference w:id="17"/>
            </w:r>
            <w:r>
              <w:rPr>
                <w:rStyle w:val="Carpredefinitoparagrafo"/>
                <w:rFonts w:cs="Arial" w:ascii="Arial" w:hAnsi="Arial"/>
                <w:sz w:val="16"/>
                <w:szCs w:val="16"/>
              </w:rPr>
              <w:t>)</w:t>
            </w:r>
          </w:p>
          <w:p>
            <w:pPr>
              <w:pStyle w:val="Normal"/>
              <w:snapToGrid w:val="false"/>
              <w:spacing w:before="57"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collocati a una distanza: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  </w:t>
            </w:r>
            <w:r>
              <w:rPr>
                <w:rFonts w:cs="Arial" w:ascii="Arial" w:hAnsi="Arial"/>
                <w:sz w:val="16"/>
                <w:szCs w:val="16"/>
              </w:rPr>
              <w:t>superiore a 500 metri dai luoghi sensibili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   </w:t>
            </w:r>
            <w:r>
              <w:rPr>
                <w:rFonts w:cs="Arial" w:ascii="Arial" w:hAnsi="Arial"/>
                <w:sz w:val="16"/>
                <w:szCs w:val="16"/>
              </w:rPr>
              <w:t>inferiore a 500 metri dai luoghi sensibili; in tal caso è consapevole dell'obbligo di rimozione degli apparecchi da gioco, nei termini previsti dall'art. 7 della Legge regionale 17 luglio 2017, n. 26, ovvero: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a) entro cinque anni qualora si tratti di sale da gioco o sale scommesse (3 agosto 2022);</w:t>
            </w:r>
          </w:p>
          <w:p>
            <w:pPr>
              <w:pStyle w:val="Normal"/>
              <w:snapToGrid w:val="false"/>
              <w:spacing w:before="57" w:after="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b) entro tre anni nel caso di qualsiasi altra attività (3 agosto 2020)</w:t>
            </w:r>
          </w:p>
        </w:tc>
      </w:tr>
    </w:tbl>
    <w:p>
      <w:pPr>
        <w:pStyle w:val="Normal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Normal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>INFORMATIVA SULLA PRIVACY (ART. 13 del d.lgs. n. 196/2003)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Finalità del trattamento. I dati personali saranno utilizzati dagli uffici nell’ambito del procedimento per il quale la dichiarazione viene resa.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Modalità del trattamento. I dati saranno trattati dagli incaricati sia con strumenti cartacei sia con strumenti informatici a disposizione degli uffici.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Ambito di comunicazione.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Diritti.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Titolare del trattamento: SUAP in cui è localizzata l'attività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Il/la sottoscritto/a dichiara di aver letto l’informativa sul trattamento dei dati personali.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19" w:type="dxa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</w:tblPr>
      <w:tblGrid>
        <w:gridCol w:w="5353"/>
        <w:gridCol w:w="4266"/>
      </w:tblGrid>
      <w:tr>
        <w:trPr/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Contents"/>
              <w:ind w:left="79" w:right="-85" w:hanging="0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 Opzioni di firma</w:t>
            </w:r>
          </w:p>
        </w:tc>
      </w:tr>
      <w:tr>
        <w:trPr/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TableContents"/>
              <w:snapToGrid w:val="false"/>
              <w:spacing w:before="57" w:after="57"/>
              <w:ind w:left="57" w:right="131" w:hanging="0"/>
              <w:jc w:val="both"/>
              <w:rPr/>
            </w:pPr>
            <w:r>
              <w:rPr>
                <w:rStyle w:val="Carpredefinitoparagrafo"/>
                <w:rFonts w:cs="Arial"/>
                <w:b/>
                <w:bCs/>
                <w:sz w:val="16"/>
                <w:szCs w:val="16"/>
              </w:rPr>
              <w:t>In caso sia stata conferita procura speciale</w:t>
            </w:r>
            <w:r>
              <w:rPr>
                <w:rStyle w:val="Carpredefinitoparagrafo"/>
                <w:rFonts w:cs="Arial"/>
                <w:sz w:val="16"/>
                <w:szCs w:val="16"/>
              </w:rPr>
              <w:t xml:space="preserve">, il presente documento è sottoscritto con </w:t>
            </w:r>
            <w:r>
              <w:rPr>
                <w:rStyle w:val="Carpredefinitoparagrafo"/>
                <w:rFonts w:cs="Arial"/>
                <w:b/>
                <w:bCs/>
                <w:sz w:val="16"/>
                <w:szCs w:val="16"/>
              </w:rPr>
              <w:t>firma autografa</w:t>
            </w:r>
            <w:r>
              <w:rPr>
                <w:rStyle w:val="Carpredefinitoparagrafo"/>
                <w:rFonts w:cs="Arial"/>
                <w:sz w:val="16"/>
                <w:szCs w:val="16"/>
              </w:rPr>
              <w:t xml:space="preserve"> dal soggetto delegante e conservato in originale dal procuratore, il quale provvederà a firmare digitalmente il modulo inviato al SUAP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57" w:after="0"/>
              <w:ind w:left="103" w:hanging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(Firma autografa in questo spazio)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21" w:type="dxa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103" w:type="dxa"/>
          <w:bottom w:w="108" w:type="dxa"/>
          <w:right w:w="108" w:type="dxa"/>
        </w:tblCellMar>
      </w:tblPr>
      <w:tblGrid>
        <w:gridCol w:w="9621"/>
      </w:tblGrid>
      <w:tr>
        <w:trPr>
          <w:trHeight w:val="284" w:hRule="atLeast"/>
        </w:trPr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57"/>
              <w:jc w:val="both"/>
              <w:rPr>
                <w:rFonts w:ascii="Arial" w:hAnsi="Arial" w:cs="Arial"/>
                <w:b/>
                <w:b/>
                <w:color w:val="0000FF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FF"/>
                <w:sz w:val="20"/>
                <w:szCs w:val="20"/>
              </w:rPr>
              <w:t>Note di compilazione</w:t>
            </w:r>
          </w:p>
          <w:p>
            <w:pPr>
              <w:pStyle w:val="Normal"/>
              <w:snapToGrid w:val="false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>A seguito dell'Accordo raggiunto sulla modulistica unificata e standardizzata, approvata dalla Conferenza Unificata  in data 4 maggio 2017:</w:t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1) Non potranno più essere richiesti certificati, atti e documenti che la Pubblica Amministrazione già possiede (per esempio: le certificazioni relative ai titoli di studio o professionali, richiesti per avviare alcune attività, la certificazione antimafia, etc.), ma solo gli elementi che consentano all'amministrazione di acquisirli o di effettuare i relativi controlli, anche a campione (articolo 18, legge n. 241 del 1990).</w:t>
            </w:r>
          </w:p>
          <w:p>
            <w:pPr>
              <w:pStyle w:val="Normal"/>
              <w:snapToGrid w:val="false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2) Non potranno più essere richiesti dati e adempimenti che derivano da prassi amministrative, ma che non sono espressamente previsti dalla legge (ad esempio: non potrà più essere richiesto il certificato di agibilità dei locali per l'avvio di un'attività commerciale o produttiva). Sarà sufficiente una semplice dichiarazione di conformità ai regolamenti urbanistici, igienico sanitari, etc.</w:t>
            </w:r>
          </w:p>
        </w:tc>
      </w:tr>
    </w:tbl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Per le attività da svolgere su suolo pubblico, è necessario avere la relativa concessione.</w:t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snapToGrid w:val="false"/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  <w:r>
        <w:br w:type="page"/>
      </w:r>
    </w:p>
    <w:p>
      <w:pPr>
        <w:pStyle w:val="Normale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2409"/>
        <w:gridCol w:w="3639"/>
        <w:gridCol w:w="3590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Quadro riepilogativo della documentazione allegata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Il sistema SUAP in rete propone automaticamente i moduli e gli allegati necessari per il procedimento scelto</w:t>
            </w:r>
          </w:p>
        </w:tc>
      </w:tr>
      <w:tr>
        <w:trPr/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Denominazione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Casi in cui è previsto il documento allegato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napToGrid w:val="false"/>
              <w:ind w:left="57" w:hanging="0"/>
              <w:jc w:val="both"/>
              <w:rPr>
                <w:rFonts w:ascii="Arial" w:hAnsi="Arial" w:eastAsia="Arial Unicode MS" w:cs="Tahoma"/>
                <w:color w:val="0000FF"/>
                <w:sz w:val="16"/>
                <w:szCs w:val="16"/>
              </w:rPr>
            </w:pPr>
            <w:r>
              <w:rPr>
                <w:rFonts w:eastAsia="Arial Unicode MS" w:cs="Tahoma" w:ascii="Arial" w:hAnsi="Arial"/>
                <w:color w:val="0000FF"/>
                <w:sz w:val="16"/>
                <w:szCs w:val="16"/>
              </w:rPr>
              <w:t>Caratteristiche di alcuni documenti allegati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Procura/delega</w:t>
            </w:r>
          </w:p>
        </w:tc>
        <w:tc>
          <w:tcPr>
            <w:tcW w:w="36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Nel caso di procura/delega a presentare la segnalazione</w:t>
            </w:r>
          </w:p>
        </w:tc>
        <w:tc>
          <w:tcPr>
            <w:tcW w:w="3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Copia del documento di identità del/i titolare/i</w:t>
            </w:r>
          </w:p>
        </w:tc>
        <w:tc>
          <w:tcPr>
            <w:tcW w:w="36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Nel caso in cui la segnalazione non sia sottoscritta in forma digitale e in assenza di procura</w:t>
            </w:r>
          </w:p>
        </w:tc>
        <w:tc>
          <w:tcPr>
            <w:tcW w:w="3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Dichiarazioni sul possesso dei requisiti da parte degli altri soci + copia del documento di identità</w:t>
            </w:r>
          </w:p>
        </w:tc>
        <w:tc>
          <w:tcPr>
            <w:tcW w:w="36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Sempre, in presenza di soggetti (es. soci) diversi dal dichiarante</w:t>
            </w:r>
          </w:p>
        </w:tc>
        <w:tc>
          <w:tcPr>
            <w:tcW w:w="3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Dichiarazioni sul possesso dei requisiti da parte del preposto + copia del documento di identità</w:t>
            </w:r>
          </w:p>
        </w:tc>
        <w:tc>
          <w:tcPr>
            <w:tcW w:w="36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Sempre, in presenza di un preposto</w:t>
            </w:r>
          </w:p>
        </w:tc>
        <w:tc>
          <w:tcPr>
            <w:tcW w:w="3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Planimetria quotata dei locali</w:t>
            </w:r>
          </w:p>
        </w:tc>
        <w:tc>
          <w:tcPr>
            <w:tcW w:w="36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Sempre obbligatoria per le Medie Strutture di Vendita Maggiori e le Grandi Strutture di Vendita</w:t>
            </w:r>
          </w:p>
        </w:tc>
        <w:tc>
          <w:tcPr>
            <w:tcW w:w="3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/>
            </w:pPr>
            <w:r>
              <w:rPr>
                <w:rStyle w:val="Carpredefinitoparagrafo"/>
                <w:rFonts w:cs="Arial" w:ascii="Arial" w:hAnsi="Arial"/>
                <w:b/>
                <w:bCs/>
                <w:sz w:val="12"/>
                <w:szCs w:val="12"/>
              </w:rPr>
              <w:t>(*)</w:t>
            </w:r>
            <w:r>
              <w:rPr>
                <w:rStyle w:val="Carpredefinitoparagrafo"/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Style w:val="Carpredefinitoparagrafo"/>
                <w:rFonts w:ascii="Arial" w:hAnsi="Arial"/>
                <w:sz w:val="12"/>
                <w:szCs w:val="12"/>
              </w:rPr>
              <w:t>Per le Medie Strutture di Vendita Maggiori e le Grandi Strutture di Vendita planimetria quotata, indicante la destinazione d’uso dei locali, con evidenziate la superficie di vendita distinta per settori merceologici, e quella destinata a magazzini, servizi, uffici, depositi, locali di lavorazione. In caso di ampliamento, deve essere evidenziata, con idonei accorgimenti, la superficie preesistente all’ampliamento e quella successiva all’ampliamento stesso.</w:t>
            </w:r>
          </w:p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centro/complesso commerciale, legenda/elenco dei singoli esercizi, con l’indicazione del settore merceologico, della superficie di vendita e della superficie totale, nonché degli esercizi di somministrazione, artigianali e a diversa destinazione inseriti nel centro o complesso commerciale;</w:t>
            </w:r>
          </w:p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dati identificativi dell’immobile (estremi del permesso di costruire, o altro documento utile che evidenzi gli estremi della domanda di P.D.C.)</w:t>
            </w:r>
          </w:p>
        </w:tc>
      </w:tr>
      <w:tr>
        <w:trPr/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Altra documentazione prevista dalla normativa regionale (*)</w:t>
            </w:r>
          </w:p>
        </w:tc>
        <w:tc>
          <w:tcPr>
            <w:tcW w:w="36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Esempi: Piano parcheggi, viabilità, ecc.</w:t>
            </w:r>
          </w:p>
        </w:tc>
        <w:tc>
          <w:tcPr>
            <w:tcW w:w="3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/>
            </w:pPr>
            <w:r>
              <w:rPr>
                <w:rStyle w:val="Carpredefinitoparagrafo"/>
                <w:rFonts w:cs="Arial" w:ascii="Arial" w:hAnsi="Arial"/>
                <w:b/>
                <w:bCs/>
                <w:sz w:val="12"/>
                <w:szCs w:val="12"/>
              </w:rPr>
              <w:t xml:space="preserve">(*) </w:t>
            </w:r>
            <w:r>
              <w:rPr>
                <w:rStyle w:val="Carpredefinitoparagrafo"/>
                <w:rFonts w:ascii="Arial" w:hAnsi="Arial"/>
                <w:sz w:val="12"/>
                <w:szCs w:val="12"/>
              </w:rPr>
              <w:t>Per le Medie Strutture di Vendita Maggiori e le Grandi Strutture di Vendita relazione sulle superfici da destinare a parcheggi ed a sosta e movimentazione merci, attestante il rispetto dei parametri di cui alla normativa regionale vigente</w:t>
            </w:r>
          </w:p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Per Grandi Strutture di Vendita  Studio degli impatti della struttura recante la stima del traffico generato ed attratto e la ridistribuzione sulla rete della viabilità, redatto secondo le modalità previste dalla normativa regionale vigente (inquadramento territoriale e studio sulla viabilità di afferenza/servizio)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3864"/>
        <w:gridCol w:w="5774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SEGNALAZIONI, COMUNICAZIONI O DOMANDE COLLEGATE (utilizzando il sistema telematico)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Segnalazioni e comunicazioni</w:t>
            </w:r>
          </w:p>
        </w:tc>
      </w:tr>
      <w:tr>
        <w:trPr/>
        <w:tc>
          <w:tcPr>
            <w:tcW w:w="3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Notifica sanitaria (art. 6, Reg.CE n. 852/2004)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Sempre obbligatoria in caso di esercizio alimentare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SCIA per la vendita di prodotti agricoli e zootecnici, mangimi, prodotti di origine minerale e chimico industriali destinati all’alimentazione animale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di prodotti agricoli e zootecnici, mangimi, prodotti di origine minerale e chimico industriali destinati all’alimentazione animale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Comunicazione per la vendita all'ingrosso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congiunta al dettaglio e all'ingrosso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SCIA prevenzione incendi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esercizio con superficie totale lorda, comprensiva di servizi e depositi (es. magazzini), superiore a 400 mq, o comunque se l’attività ricade in uno qualsiasi dei punti dell’Allegato I al D.P.R. n. 151/2011, ovvero In caso di vendita di gas liquefatti (GPL) in recipienti mobili con quantitativi superiori o uguali a 75 kg, ovvero In caso di vendita di gas infiammabili in recipienti mobili compressi con capacità geometrica Complessiva superiore o uguale a 0,75 mc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Comunicazione per la vendita di farmaci da banco e medicinali veterinari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di farmaci da banco o medicinali veterinari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Comunicazione per la vendita di gas petrolio liquefatto (GPL) per combustione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di gas di petrolio liquefatto (GPL) per combustione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Comunicazione, che vale quale denuncia per la vendita di gas infiammabili in recipienti mobili compressi (D.Lgs. n. 504/1995)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di gas infiammabili in recipienti mobili compressi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SCIA per insegna di esercizio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attività che preveda insegna esterna (dove è prevista la SCIA)</w:t>
            </w:r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Autorizzazioni</w:t>
            </w:r>
          </w:p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Il/la sottoscritto/a è consapevole di non poter iniziare l’attività fino al rilascio dei relativi atti di assenso, che verrà comunicato dallo Sportello Unico.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Documentazione per la richiesta di Riconoscimento per la produzione e la commercializzazione dei prodotti di origine animale (Reg.CE n. 853/2004) o non animale (Reg.CE n. 852/2004)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produzione e commercializzazione dei prodotti di origine animale o non animale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Documentazione per il rilascio dell’autorizzazione per la vendita di prodotti fitosanitari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di prodotti fitosanitari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Documentazione per la richiesta dell’autorizzazione di Pubblica Sicurezza per la vendita di oggetti preziosi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di oggetti preziosi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Documentazione per la richiesta dell’autorizzazione di Pubblica Sicurezza per la vendita di armi diverse da quelle da guerra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vendita di armi diverse da quelle da guerra</w:t>
            </w:r>
          </w:p>
        </w:tc>
      </w:tr>
      <w:tr>
        <w:trPr/>
        <w:tc>
          <w:tcPr>
            <w:tcW w:w="38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Autorizzazione per insegna di esercizio</w:t>
            </w:r>
          </w:p>
        </w:tc>
        <w:tc>
          <w:tcPr>
            <w:tcW w:w="5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In caso di attività che preveda insegna esterna (dove è prevista la domanda di autorizzazione)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5376"/>
        <w:gridCol w:w="4262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rPr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i w:val="false"/>
                <w:iCs w:val="false"/>
                <w:color w:val="0000FF"/>
                <w:sz w:val="16"/>
                <w:szCs w:val="16"/>
              </w:rPr>
              <w:t>ALTRI ALLEGATI (attestazioni relative al versamento di oneri, diritti, etc. e dell’imposta di bollo)</w:t>
            </w:r>
          </w:p>
        </w:tc>
      </w:tr>
      <w:tr>
        <w:trPr/>
        <w:tc>
          <w:tcPr>
            <w:tcW w:w="5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Denominazione</w:t>
            </w:r>
          </w:p>
        </w:tc>
        <w:tc>
          <w:tcPr>
            <w:tcW w:w="4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itolo2"/>
              <w:numPr>
                <w:ilvl w:val="1"/>
                <w:numId w:val="1"/>
              </w:numPr>
              <w:tabs>
                <w:tab w:val="left" w:pos="0" w:leader="none"/>
              </w:tabs>
              <w:spacing w:before="57" w:after="57"/>
              <w:ind w:lef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color w:val="0000FF"/>
                <w:sz w:val="16"/>
                <w:szCs w:val="16"/>
              </w:rPr>
              <w:t>Casi in cui è previsto il documento allegato</w:t>
            </w:r>
          </w:p>
        </w:tc>
      </w:tr>
      <w:tr>
        <w:trPr/>
        <w:tc>
          <w:tcPr>
            <w:tcW w:w="5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Attestazione del versamento di oneri, di diritti, ecc.(*)</w:t>
            </w:r>
          </w:p>
        </w:tc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Nella misura e con le modalità indicate sul sito dell’amministrazione</w:t>
            </w:r>
          </w:p>
        </w:tc>
      </w:tr>
      <w:tr>
        <w:trPr/>
        <w:tc>
          <w:tcPr>
            <w:tcW w:w="53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- Attestazione del versamento dell’imposta di bollo:</w:t>
            </w:r>
          </w:p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estremi del codice identificativo della marca da bollo, che deve essere annullata e conservata dall’interessato;</w:t>
            </w:r>
          </w:p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ovvero</w:t>
            </w:r>
          </w:p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- Assolvimento dell’imposta di bollo con le altre modalità previste, anche in modalità virtuale o tramite @bollo</w:t>
            </w:r>
          </w:p>
        </w:tc>
        <w:tc>
          <w:tcPr>
            <w:tcW w:w="42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ind w:left="57" w:hanging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Obbligatoria per la presentazione di una domanda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Style w:val="Carpredefinitoparagrafo"/>
        <w:rFonts w:ascii="Arial" w:hAnsi="Arial"/>
        <w:sz w:val="16"/>
        <w:szCs w:val="16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Style w:val="Carpredefinitoparagrafo"/>
        <w:rFonts w:ascii="Arial" w:hAnsi="Arial"/>
        <w:sz w:val="16"/>
        <w:szCs w:val="16"/>
      </w:rPr>
      <w:t>/</w:t>
    </w:r>
    <w:r>
      <w:rPr>
        <w:rStyle w:val="Carpredefinitoparagrafo"/>
        <w:rFonts w:ascii="Arial" w:hAnsi="Arial"/>
        <w:sz w:val="16"/>
        <w:szCs w:val="16"/>
      </w:rPr>
      <w:fldChar w:fldCharType="begin"/>
    </w:r>
    <w:r>
      <w:instrText> NUMPAGES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rStyle w:val="Carpredefinitoparagrafo"/>
        <w:rFonts w:ascii="Arial" w:hAnsi="Arial"/>
        <w:sz w:val="16"/>
        <w:szCs w:val="16"/>
      </w:rPr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  <w:r>
      <w:rPr>
        <w:rStyle w:val="Carpredefinitoparagrafo"/>
        <w:rFonts w:ascii="Arial" w:hAnsi="Arial"/>
        <w:sz w:val="16"/>
        <w:szCs w:val="16"/>
      </w:rPr>
      <w:t>/</w:t>
    </w:r>
    <w:r>
      <w:rPr>
        <w:rStyle w:val="Carpredefinitoparagrafo"/>
        <w:rFonts w:ascii="Arial" w:hAnsi="Arial"/>
        <w:sz w:val="16"/>
        <w:szCs w:val="16"/>
      </w:rPr>
      <w:fldChar w:fldCharType="begin"/>
    </w:r>
    <w:r>
      <w:instrText> NUMPAGES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Sono esercizi di vicinato: quelli con superficie di vendita fino a metri quadrati 250</w:t>
      </w:r>
    </w:p>
  </w:footnote>
  <w:footnote w:id="3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Sono esercizi di media struttura minore: quelli con superficie di vendita superiore a metri quadrati 250 e fino a metri quadrati 400</w:t>
      </w:r>
    </w:p>
  </w:footnote>
  <w:footnote w:id="4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Sono esercizi di media struttura maggiore: quelli con superficie di vendita superiore a metri quadrati 400 e fino a metri quadrati 1.500</w:t>
      </w:r>
    </w:p>
  </w:footnote>
  <w:footnote w:id="5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Sono esercizi di grande struttura: quelli con superficie di vendita superiore a metri quadrati 1.500</w:t>
      </w:r>
    </w:p>
  </w:footnote>
  <w:footnote w:id="6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E' centro commerciale al dettaglio: un insieme di più esercizi al dettaglio, realizzati secondo un progetto unitario, con infrastrutture e servizi gestiti unitariamente, la cui superficie complessiva di vendita sia superiore a metri quadrati 1.500 e la cui prevalente destinazione commerciale possa essere integrata da servizi all'utenza diversi da quelli esclusivamente commerciali, incluse le attività di intrattenimento e svago, con esclusione delle attività di vendita all'ingrosso</w:t>
      </w:r>
    </w:p>
  </w:footnote>
  <w:footnote w:id="7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E' complesso commerciale: un insieme di più esercizi sia di vicinato, che di media o grande struttura, insediati in uno o più edifici, funzionalmente o fisicamente integrati tra loro, o che facciano parte di un unico Piano attuativo la cui superficie complessiva di vendita sia superiore a metri quadrati 1.500 e la cui prevalente destinazione commerciale possa essere integrata da servizi all'utenza diversi da quelli esclusivamente commerciali, incluse le attività di intrattenimento e svago</w:t>
      </w:r>
    </w:p>
  </w:footnote>
  <w:footnote w:id="8">
    <w:p>
      <w:pPr>
        <w:pStyle w:val="Footnote"/>
        <w:rPr/>
      </w:pPr>
      <w:r>
        <w:rPr>
          <w:rStyle w:val="Carpredefinitoparagrafo"/>
          <w:rFonts w:eastAsia="Arial Unicode MS" w:cs="Tahoma"/>
          <w:b/>
          <w:bCs/>
          <w:sz w:val="12"/>
          <w:szCs w:val="12"/>
        </w:rPr>
        <w:footnoteRef/>
        <w:tab/>
        <w:t xml:space="preserve">(*) </w:t>
      </w:r>
      <w:r>
        <w:rPr>
          <w:rStyle w:val="Carpredefinitoparagrafo"/>
          <w:sz w:val="12"/>
          <w:szCs w:val="12"/>
        </w:rPr>
        <w:t>La  distinzione  tra  destinazione d’uso commerciale al dettaglio e commerciale all’ingrosso ha una valenza di ordine edilizio e pertanto la separazione tra attività commerciale al dettaglio ed attività commerciale all’ingrosso non può che consistere in strutture  fisiche  inamovibili</w:t>
      </w:r>
    </w:p>
  </w:footnote>
  <w:footnote w:id="9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Attività stagionale: l'attività svolta per uno o più periodi, anche frazionati, nel complesso non inferiori a sessanta giorni e non superiori a duecentoquaranta giorni per ciascun anno solare, come definiti dai Comuni con proprio regolamento</w:t>
      </w:r>
    </w:p>
  </w:footnote>
  <w:footnote w:id="10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Attività temporanea: l'attività svolta per un periodo non superiore a cinquantanove giorni nel corso dell'anno</w:t>
      </w:r>
    </w:p>
  </w:footnote>
  <w:footnote w:id="11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Vendita di generi del settore alimentare: la vendita di prodotti destinati alla nutrizione;</w:t>
      </w:r>
    </w:p>
    <w:p>
      <w:pPr>
        <w:pStyle w:val="Footnote"/>
        <w:rPr>
          <w:sz w:val="12"/>
          <w:szCs w:val="12"/>
        </w:rPr>
      </w:pPr>
      <w:r>
        <w:rPr>
          <w:sz w:val="12"/>
          <w:szCs w:val="12"/>
        </w:rPr>
        <w:tab/>
        <w:t>Vendita di generi del settore non alimentare: la vendita di ogni altro prodotto diverso da quelli di cui alla lettera c);</w:t>
      </w:r>
    </w:p>
    <w:p>
      <w:pPr>
        <w:pStyle w:val="Footnote"/>
        <w:rPr>
          <w:sz w:val="12"/>
          <w:szCs w:val="12"/>
        </w:rPr>
      </w:pPr>
      <w:r>
        <w:rPr>
          <w:sz w:val="12"/>
          <w:szCs w:val="12"/>
        </w:rPr>
        <w:tab/>
        <w:t>Generi non alimentari a basso impatto: i materiali dell'edilizia, ivi compresi quelli elettrici, dell'agricoltura e della zootecnia, la ferramenta, i legnami, i mobili e gli articoli di arredamento, gli elettrodomestici, i veicoli, incluse le imbarcazioni, e i prodotti a questi similari che richiedono ampie superfici di esposizione e di vendita in rapporto al numero di visitatori e acquirenti;</w:t>
      </w:r>
    </w:p>
    <w:p>
      <w:pPr>
        <w:pStyle w:val="Footnote"/>
        <w:rPr>
          <w:sz w:val="12"/>
          <w:szCs w:val="12"/>
        </w:rPr>
      </w:pPr>
      <w:r>
        <w:rPr>
          <w:sz w:val="12"/>
          <w:szCs w:val="12"/>
        </w:rPr>
        <w:tab/>
        <w:t>Generi speciali: i prodotti ricompresi nei settori merceologici alimentari e non, posti in vendita nelle farmacie, nelle rivendite di generi di monopolio e presso i distributori di carburante</w:t>
      </w:r>
    </w:p>
  </w:footnote>
  <w:footnote w:id="12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Superficie di vendita di un esercizio al dettaglio: l'area alla quale ha accesso il pubblico, compresa quella occupata dai banchi, dalle scaffalature o quella comunque destinata a mostra o esposizione di merce, con esclusione dell'area destinata ai magazzini o ai depositi, ai locali di lavorazione o agli uffici e ai servizi, nonché dell'area interna adibita a deposito dei carrelli</w:t>
      </w:r>
    </w:p>
  </w:footnote>
  <w:footnote w:id="13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 xml:space="preserve">Le dichiarazioni sono rese ai sensi della  legge regionale </w:t>
      </w:r>
      <w:hyperlink r:id="rId1" w:tgtFrame="_top">
        <w:r>
          <w:rPr>
            <w:rStyle w:val="Carpredefinitoparagrafo"/>
            <w:sz w:val="12"/>
            <w:szCs w:val="12"/>
          </w:rPr>
          <w:t xml:space="preserve">14 febbraio 2014, n. 1 </w:t>
        </w:r>
      </w:hyperlink>
      <w:r>
        <w:rPr>
          <w:rStyle w:val="Carpredefinitoparagrafo"/>
          <w:sz w:val="12"/>
          <w:szCs w:val="12"/>
        </w:rPr>
        <w:t>(disposizioni per la prevenzione, il trattamento e il contrasto della dipendenza da gioco d'azzardo, nonché delle problematiche e patologie correlate) e della Legge regionale</w:t>
      </w:r>
      <w:r>
        <w:rPr>
          <w:rStyle w:val="Carpredefinitoparagrafo"/>
          <w:rFonts w:cs="Arial"/>
          <w:sz w:val="12"/>
          <w:szCs w:val="12"/>
        </w:rPr>
        <w:t xml:space="preserve"> </w:t>
      </w:r>
      <w:hyperlink r:id="rId2" w:tgtFrame="_top">
        <w:r>
          <w:rPr>
            <w:rStyle w:val="Carpredefinitoparagrafo"/>
            <w:rFonts w:cs="Arial"/>
            <w:sz w:val="12"/>
            <w:szCs w:val="12"/>
          </w:rPr>
          <w:t>17 luglio 2017, n. 26</w:t>
        </w:r>
      </w:hyperlink>
      <w:r>
        <w:rPr>
          <w:rStyle w:val="Carpredefinitoparagrafo"/>
          <w:rFonts w:cs="Arial"/>
          <w:sz w:val="12"/>
          <w:szCs w:val="12"/>
        </w:rPr>
        <w:t xml:space="preserve"> Modifiche alla legge regionale 14 febbraio 2014, n. 1</w:t>
      </w:r>
    </w:p>
  </w:footnote>
  <w:footnote w:id="14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11. Il divieto di cui al comma 1 non si applica qualora l'insediamento dell'attività qualificata come luogo sensibile ai sensi della presente legge sia successivo alla installazione degli apparecchi per il gioco lecito o all'insediamento dell'attività di raccolta di scommesse</w:t>
      </w:r>
    </w:p>
  </w:footnote>
  <w:footnote w:id="15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"</w:t>
      </w:r>
      <w:r>
        <w:rPr>
          <w:rStyle w:val="Carpredefinitoparagrafo"/>
          <w:b/>
          <w:bCs/>
          <w:sz w:val="12"/>
          <w:szCs w:val="12"/>
        </w:rPr>
        <w:t>vetustà dell'apparecchio per il gioco lecito</w:t>
      </w:r>
      <w:r>
        <w:rPr>
          <w:rStyle w:val="Carpredefinitoparagrafo"/>
          <w:sz w:val="12"/>
          <w:szCs w:val="12"/>
        </w:rPr>
        <w:t>": la sopravvenuta inadeguatezza tecnica dell'apparecchio per il gioco lecito rispetto a requisiti previsti dalla normativa vigente</w:t>
      </w:r>
    </w:p>
  </w:footnote>
  <w:footnote w:id="16">
    <w:p>
      <w:pPr>
        <w:pStyle w:val="Footnote"/>
        <w:rPr/>
      </w:pPr>
      <w:r>
        <w:rPr>
          <w:rStyle w:val="Carpredefinitoparagrafo"/>
          <w:sz w:val="12"/>
          <w:szCs w:val="12"/>
        </w:rPr>
        <w:footnoteRef/>
        <w:tab/>
        <w:t>"</w:t>
      </w:r>
      <w:r>
        <w:rPr>
          <w:rStyle w:val="Carpredefinitoparagrafo"/>
          <w:b/>
          <w:bCs/>
          <w:sz w:val="12"/>
          <w:szCs w:val="12"/>
        </w:rPr>
        <w:t>guasto dell'apparecchio per il gioco lecito</w:t>
      </w:r>
      <w:r>
        <w:rPr>
          <w:rStyle w:val="Carpredefinitoparagrafo"/>
          <w:sz w:val="12"/>
          <w:szCs w:val="12"/>
        </w:rPr>
        <w:t>": il malfunzionamento irreparabile dell'apparecchio per il gioco lecito che lo rende inservibile al suo scopo</w:t>
      </w:r>
    </w:p>
  </w:footnote>
  <w:footnote w:id="17">
    <w:p>
      <w:pPr>
        <w:pStyle w:val="Footnote"/>
        <w:rPr/>
      </w:pPr>
      <w:r>
        <w:rPr/>
        <w:footnoteRef/>
        <w:tab/>
        <w:t xml:space="preserve">Nei casi di cui al comma 4 (cioè sostituzione per vetustà o guasto), la comunicazione </w:t>
      </w:r>
      <w:r>
        <w:rPr>
          <w:rStyle w:val="Carpredefinitoparagrafo"/>
          <w:b/>
          <w:bCs/>
        </w:rPr>
        <w:t>specifica le cause che rendono necessaria la sostituzione degli apparecchi</w:t>
      </w:r>
      <w:r>
        <w:rPr/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>
        <w:rStyle w:val="Carpredefinitoparagrafo"/>
        <w:rFonts w:cs="Arial" w:ascii="Arial" w:hAnsi="Arial"/>
        <w:b/>
        <w:bCs/>
        <w:color w:val="999999"/>
        <w:sz w:val="16"/>
        <w:szCs w:val="16"/>
      </w:rPr>
      <w:t>B1 - Commercio in sede fissa</w:t>
    </w:r>
  </w:p>
  <w:p>
    <w:pPr>
      <w:pStyle w:val="Normal"/>
      <w:rPr>
        <w:rFonts w:ascii="Arial" w:hAnsi="Arial" w:cs="Arial"/>
        <w:b/>
        <w:b/>
        <w:bCs/>
        <w:color w:val="999999"/>
        <w:sz w:val="16"/>
        <w:szCs w:val="16"/>
      </w:rPr>
    </w:pPr>
    <w:r>
      <w:rPr>
        <w:rFonts w:cs="Arial" w:ascii="Arial" w:hAnsi="Arial"/>
        <w:b/>
        <w:bCs/>
        <w:color w:val="999999"/>
        <w:sz w:val="16"/>
        <w:szCs w:val="16"/>
      </w:rPr>
      <w:t>Data ultima versione del modello: 29/03/2018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>
        <w:rStyle w:val="Carpredefinitoparagrafo"/>
        <w:rFonts w:cs="Arial" w:ascii="Arial" w:hAnsi="Arial"/>
        <w:b/>
        <w:bCs/>
        <w:color w:val="999999"/>
        <w:sz w:val="16"/>
        <w:szCs w:val="16"/>
      </w:rPr>
      <w:t>B1 - Commercio in sede fissa</w:t>
    </w:r>
  </w:p>
  <w:p>
    <w:pPr>
      <w:pStyle w:val="Normal"/>
      <w:rPr>
        <w:rFonts w:ascii="Arial" w:hAnsi="Arial" w:cs="Arial"/>
        <w:b/>
        <w:b/>
        <w:bCs/>
        <w:color w:val="999999"/>
        <w:sz w:val="16"/>
        <w:szCs w:val="16"/>
      </w:rPr>
    </w:pPr>
    <w:r>
      <w:rPr>
        <w:rFonts w:cs="Arial" w:ascii="Arial" w:hAnsi="Arial"/>
        <w:b/>
        <w:bCs/>
        <w:color w:val="999999"/>
        <w:sz w:val="16"/>
        <w:szCs w:val="16"/>
      </w:rPr>
      <w:t>Data ultima versione del modello: 29/03/2018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lvlText w:val="%1"/>
      <w:lvlJc w:val="left"/>
      <w:pPr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it-IT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NumberingSymbols">
    <w:name w:val="Numbering Symbols"/>
    <w:qFormat/>
    <w:rPr/>
  </w:style>
  <w:style w:type="character" w:styleId="WW8Num3z0">
    <w:name w:val="WW8Num3z0"/>
    <w:qFormat/>
    <w:rPr>
      <w:rFonts w:ascii="Symbol" w:hAnsi="Symbo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position w:val="24"/>
      <w:sz w:val="16"/>
    </w:rPr>
  </w:style>
  <w:style w:type="character" w:styleId="WWCharLFO3LVL1">
    <w:name w:val="WW_CharLFO3LVL1"/>
    <w:qFormat/>
    <w:rPr>
      <w:rFonts w:ascii="Symbol" w:hAnsi="Symbol"/>
    </w:rPr>
  </w:style>
  <w:style w:type="character" w:styleId="Rimandonotaapidipagina">
    <w:name w:val="Rimando nota a piè di pagina"/>
    <w:basedOn w:val="Carpredefinitoparagrafo"/>
    <w:qFormat/>
    <w:rPr>
      <w:position w:val="24"/>
      <w:sz w:val="16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Titolo1">
    <w:name w:val="Titolo 1"/>
    <w:basedOn w:val="Heading"/>
    <w:next w:val="TextBody"/>
    <w:qFormat/>
    <w:pPr>
      <w:numPr>
        <w:ilvl w:val="0"/>
        <w:numId w:val="1"/>
      </w:numPr>
      <w:suppressAutoHyphens w:val="true"/>
      <w:outlineLvl w:val="0"/>
    </w:pPr>
    <w:rPr>
      <w:b/>
      <w:bCs/>
      <w:color w:val="FF3333"/>
    </w:rPr>
  </w:style>
  <w:style w:type="paragraph" w:styleId="Titolo2">
    <w:name w:val="Titolo 2"/>
    <w:basedOn w:val="Heading"/>
    <w:next w:val="TextBody"/>
    <w:qFormat/>
    <w:pPr>
      <w:numPr>
        <w:ilvl w:val="1"/>
        <w:numId w:val="1"/>
      </w:numPr>
      <w:suppressAutoHyphens w:val="true"/>
      <w:outlineLvl w:val="1"/>
    </w:pPr>
    <w:rPr>
      <w:b/>
      <w:bCs/>
      <w:i/>
      <w:iCs/>
    </w:rPr>
  </w:style>
  <w:style w:type="paragraph" w:styleId="Titolo3">
    <w:name w:val="Titolo 3"/>
    <w:basedOn w:val="Heading"/>
    <w:next w:val="TextBody"/>
    <w:qFormat/>
    <w:pPr>
      <w:numPr>
        <w:ilvl w:val="2"/>
        <w:numId w:val="1"/>
      </w:numPr>
      <w:suppressAutoHyphens w:val="true"/>
      <w:spacing w:before="0" w:after="0"/>
      <w:textAlignment w:val="center"/>
      <w:outlineLvl w:val="2"/>
    </w:pPr>
    <w:rPr>
      <w:b/>
      <w:bCs/>
    </w:rPr>
  </w:style>
  <w:style w:type="paragraph" w:styleId="Titolo7">
    <w:name w:val="Titolo 7"/>
    <w:basedOn w:val="Normal"/>
    <w:next w:val="Normal"/>
    <w:qFormat/>
    <w:pPr>
      <w:keepNext w:val="true"/>
      <w:numPr>
        <w:ilvl w:val="6"/>
        <w:numId w:val="1"/>
      </w:numPr>
      <w:tabs>
        <w:tab w:val="left" w:pos="1980" w:leader="none"/>
      </w:tabs>
      <w:suppressAutoHyphens w:val="true"/>
      <w:jc w:val="center"/>
      <w:outlineLvl w:val="6"/>
    </w:pPr>
    <w:rPr>
      <w:i/>
      <w:iCs/>
      <w:sz w:val="20"/>
    </w:rPr>
  </w:style>
  <w:style w:type="paragraph" w:styleId="Titolo8">
    <w:name w:val="Titolo 8"/>
    <w:basedOn w:val="Heading"/>
    <w:next w:val="TextBody"/>
    <w:qFormat/>
    <w:pPr>
      <w:numPr>
        <w:ilvl w:val="7"/>
        <w:numId w:val="1"/>
      </w:numPr>
      <w:suppressAutoHyphens w:val="true"/>
      <w:outlineLvl w:val="7"/>
    </w:pPr>
    <w:rPr>
      <w:b/>
      <w:bCs/>
    </w:rPr>
  </w:style>
  <w:style w:type="paragraph" w:styleId="Titolo9">
    <w:name w:val="Titolo 9"/>
    <w:basedOn w:val="Heading"/>
    <w:next w:val="TextBody"/>
    <w:qFormat/>
    <w:pPr>
      <w:numPr>
        <w:ilvl w:val="8"/>
        <w:numId w:val="1"/>
      </w:numPr>
      <w:suppressAutoHyphens w:val="true"/>
      <w:outlineLvl w:val="8"/>
    </w:pPr>
    <w:rPr>
      <w:b/>
      <w:bCs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TextBody">
    <w:name w:val="Body Text"/>
    <w:basedOn w:val="Normal"/>
    <w:pPr>
      <w:suppressAutoHyphens w:val="true"/>
      <w:spacing w:before="0" w:after="120"/>
    </w:pPr>
    <w:rPr/>
  </w:style>
  <w:style w:type="paragraph" w:styleId="Elenco">
    <w:name w:val="Elenco"/>
    <w:basedOn w:val="TextBody"/>
    <w:qFormat/>
    <w:pPr>
      <w:suppressAutoHyphens w:val="true"/>
    </w:pPr>
    <w:rPr>
      <w:rFonts w:cs="Tahoma"/>
    </w:rPr>
  </w:style>
  <w:style w:type="paragraph" w:styleId="Didascalia">
    <w:name w:val="Didascalia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Tahoma"/>
    </w:rPr>
  </w:style>
  <w:style w:type="paragraph" w:styleId="TableContents">
    <w:name w:val="Table Contents"/>
    <w:basedOn w:val="Normal"/>
    <w:qFormat/>
    <w:pPr>
      <w:suppressLineNumbers/>
      <w:suppressAutoHyphens w:val="true"/>
    </w:pPr>
    <w:rPr>
      <w:rFonts w:ascii="Arial" w:hAnsi="Arial"/>
      <w:sz w:val="20"/>
    </w:rPr>
  </w:style>
  <w:style w:type="paragraph" w:styleId="TableHeading">
    <w:name w:val="Table Heading"/>
    <w:basedOn w:val="TableContents"/>
    <w:qFormat/>
    <w:pPr>
      <w:suppressAutoHyphens w:val="true"/>
      <w:jc w:val="center"/>
    </w:pPr>
    <w:rPr>
      <w:b/>
      <w:bCs/>
    </w:rPr>
  </w:style>
  <w:style w:type="paragraph" w:styleId="Heading10">
    <w:name w:val="Heading 10"/>
    <w:basedOn w:val="Heading"/>
    <w:next w:val="TextBody"/>
    <w:qFormat/>
    <w:pPr>
      <w:suppressAutoHyphens w:val="true"/>
    </w:pPr>
    <w:rPr>
      <w:b/>
      <w:bCs/>
    </w:rPr>
  </w:style>
  <w:style w:type="paragraph" w:styleId="Pidipagina">
    <w:name w:val="Piè di pagina"/>
    <w:basedOn w:val="Normal"/>
    <w:qFormat/>
    <w:pPr>
      <w:suppressLineNumbers/>
      <w:tabs>
        <w:tab w:val="center" w:pos="4819" w:leader="none"/>
        <w:tab w:val="right" w:pos="9638" w:leader="none"/>
      </w:tabs>
      <w:suppressAutoHyphens w:val="true"/>
    </w:pPr>
    <w:rPr/>
  </w:style>
  <w:style w:type="paragraph" w:styleId="HorizontalLine">
    <w:name w:val="Horizontal Line"/>
    <w:basedOn w:val="Normal"/>
    <w:next w:val="TextBody"/>
    <w:qFormat/>
    <w:pPr>
      <w:suppressLineNumbers/>
      <w:suppressAutoHyphens w:val="true"/>
      <w:spacing w:before="0" w:after="283"/>
    </w:pPr>
    <w:rPr>
      <w:sz w:val="12"/>
      <w:szCs w:val="12"/>
    </w:rPr>
  </w:style>
  <w:style w:type="paragraph" w:styleId="Footnote">
    <w:name w:val="Footnote Text"/>
    <w:basedOn w:val="Normal"/>
    <w:pPr>
      <w:suppressLineNumbers/>
      <w:suppressAutoHyphens w:val="true"/>
      <w:ind w:left="283" w:hanging="283"/>
    </w:pPr>
    <w:rPr>
      <w:rFonts w:ascii="Arial" w:hAnsi="Arial"/>
      <w:sz w:val="20"/>
      <w:szCs w:val="20"/>
    </w:rPr>
  </w:style>
  <w:style w:type="paragraph" w:styleId="Intestazione">
    <w:name w:val="Intestazione"/>
    <w:basedOn w:val="Normal"/>
    <w:qFormat/>
    <w:pPr>
      <w:suppressLineNumbers/>
      <w:tabs>
        <w:tab w:val="center" w:pos="4819" w:leader="none"/>
        <w:tab w:val="right" w:pos="9638" w:leader="none"/>
      </w:tabs>
      <w:suppressAutoHyphens w:val="true"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umbering1">
    <w:name w:val="Numbering 1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lexview-int.regione.fvg.it/fontinormative/xml/xmlLex.aspx?anno=2014&amp;legge=1&amp;lista=0&amp;fx=lex" TargetMode="External"/><Relationship Id="rId2" Type="http://schemas.openxmlformats.org/officeDocument/2006/relationships/hyperlink" Target="http://lexview-int.regione.fvg.it/FontiNormative/xml/xmlLex.aspx?anno=2017&amp;legge=26&amp;ID=art7&amp;lista=0&amp;fx=lex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</TotalTime>
  <Application>LibreOffice/5.3.6.1$Linux_X86_64 LibreOffice_project/30$Build-1</Application>
  <Pages>6</Pages>
  <Words>2120</Words>
  <Characters>12084</Characters>
  <CharactersWithSpaces>14176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2012-11-28T09:45:00Z</dcterms:created>
  <dc:creator>Livio Metton</dc:creator>
  <dc:description>Versione 1.0</dc:description>
  <dc:language>en-US</dc:language>
  <cp:lastModifiedBy>Andrea Piredda</cp:lastModifiedBy>
  <cp:lastPrinted>2016-08-10T12:02:00Z</cp:lastPrinted>
  <dcterms:modified xsi:type="dcterms:W3CDTF">2018-04-27T09:23:00Z</dcterms:modified>
  <cp:revision>395</cp:revision>
  <dc:subject/>
  <dc:title/>
</cp:coreProperties>
</file>